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val="0"/>
        <w:spacing w:line="460" w:lineRule="exact"/>
        <w:jc w:val="center"/>
        <w:textAlignment w:val="auto"/>
        <w:outlineLvl w:val="0"/>
        <w:rPr>
          <w:rFonts w:hint="eastAsia" w:ascii="仿宋" w:hAnsi="仿宋" w:eastAsia="仿宋" w:cs="仿宋"/>
          <w:b/>
          <w:sz w:val="32"/>
          <w:szCs w:val="32"/>
        </w:rPr>
      </w:pPr>
      <w:r>
        <w:rPr>
          <w:rFonts w:hint="eastAsia" w:ascii="仿宋" w:hAnsi="仿宋" w:eastAsia="仿宋" w:cs="仿宋"/>
          <w:b/>
          <w:sz w:val="32"/>
          <w:szCs w:val="32"/>
          <w:lang w:eastAsia="zh-CN"/>
        </w:rPr>
        <w:t>江苏省南通田家炳中学网络设施运行与维护服务外包采购项目</w:t>
      </w:r>
      <w:r>
        <w:rPr>
          <w:rFonts w:hint="eastAsia" w:ascii="仿宋" w:hAnsi="仿宋" w:eastAsia="仿宋" w:cs="仿宋"/>
          <w:b/>
          <w:sz w:val="32"/>
          <w:szCs w:val="32"/>
        </w:rPr>
        <w:t>需求说明</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b/>
          <w:bCs/>
          <w:sz w:val="24"/>
          <w:lang w:eastAsia="zh-CN"/>
        </w:rPr>
      </w:pPr>
      <w:r>
        <w:rPr>
          <w:rFonts w:hint="eastAsia" w:ascii="仿宋" w:hAnsi="仿宋" w:eastAsia="仿宋" w:cs="仿宋"/>
          <w:b/>
          <w:bCs/>
          <w:sz w:val="24"/>
          <w:lang w:eastAsia="zh-CN"/>
        </w:rPr>
        <w:t>一、</w:t>
      </w:r>
      <w:r>
        <w:rPr>
          <w:rFonts w:hint="eastAsia" w:ascii="仿宋" w:hAnsi="仿宋" w:eastAsia="仿宋" w:cs="仿宋"/>
          <w:b/>
          <w:bCs/>
          <w:sz w:val="24"/>
        </w:rPr>
        <w:t>服务外包</w:t>
      </w:r>
      <w:r>
        <w:rPr>
          <w:rFonts w:hint="eastAsia" w:ascii="仿宋" w:hAnsi="仿宋" w:eastAsia="仿宋" w:cs="仿宋"/>
          <w:b/>
          <w:bCs/>
          <w:sz w:val="24"/>
          <w:lang w:eastAsia="zh-CN"/>
        </w:rPr>
        <w:t>内容</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b/>
          <w:bCs/>
          <w:szCs w:val="21"/>
        </w:rPr>
      </w:pPr>
      <w:r>
        <w:rPr>
          <w:rFonts w:hint="eastAsia" w:ascii="仿宋" w:hAnsi="仿宋" w:eastAsia="仿宋" w:cs="仿宋"/>
          <w:sz w:val="24"/>
        </w:rPr>
        <w:t>按照网络与信息安全相关要求，为保证</w:t>
      </w:r>
      <w:r>
        <w:rPr>
          <w:rFonts w:hint="eastAsia" w:ascii="仿宋" w:hAnsi="仿宋" w:eastAsia="仿宋" w:cs="仿宋"/>
          <w:sz w:val="24"/>
          <w:lang w:eastAsia="zh-CN"/>
        </w:rPr>
        <w:t>采购人</w:t>
      </w:r>
      <w:r>
        <w:rPr>
          <w:rFonts w:hint="eastAsia" w:ascii="仿宋" w:hAnsi="仿宋" w:eastAsia="仿宋" w:cs="仿宋"/>
          <w:sz w:val="24"/>
        </w:rPr>
        <w:t>校园网络安全稳定运行，需对网络中心所有系统进行深层次有效防护、对各个使用端进行合理维护。本项目对</w:t>
      </w:r>
      <w:r>
        <w:rPr>
          <w:rFonts w:hint="eastAsia" w:ascii="仿宋" w:hAnsi="仿宋" w:eastAsia="仿宋" w:cs="仿宋"/>
          <w:sz w:val="24"/>
          <w:lang w:eastAsia="zh-CN"/>
        </w:rPr>
        <w:t>采购人</w:t>
      </w:r>
      <w:r>
        <w:rPr>
          <w:rFonts w:hint="eastAsia" w:ascii="仿宋" w:hAnsi="仿宋" w:eastAsia="仿宋" w:cs="仿宋"/>
          <w:sz w:val="24"/>
        </w:rPr>
        <w:t>三个校区网络设备、服务器设备及终端设备的安全维护</w:t>
      </w:r>
      <w:r>
        <w:rPr>
          <w:rFonts w:hint="eastAsia" w:ascii="仿宋" w:hAnsi="仿宋" w:eastAsia="仿宋" w:cs="仿宋"/>
          <w:sz w:val="24"/>
          <w:lang w:eastAsia="zh-CN"/>
        </w:rPr>
        <w:t>实行</w:t>
      </w:r>
      <w:r>
        <w:rPr>
          <w:rFonts w:hint="eastAsia" w:ascii="仿宋" w:hAnsi="仿宋" w:eastAsia="仿宋" w:cs="仿宋"/>
          <w:sz w:val="24"/>
        </w:rPr>
        <w:t>外包服务。</w:t>
      </w:r>
      <w:r>
        <w:rPr>
          <w:rFonts w:hint="eastAsia" w:ascii="仿宋" w:hAnsi="仿宋" w:eastAsia="仿宋" w:cs="仿宋"/>
          <w:b/>
          <w:bCs/>
          <w:sz w:val="24"/>
        </w:rPr>
        <w:t>具体内容包括：</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rPr>
        <w:t>1、及时完成学校办公、公共教学用计算机及周围设备安全维护，定期进行设备巡检，确保正常使用；定期对校园服务器进行补丁升级；</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2、网络常规运维及安全服务：</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（1）网络设备运维</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（2）应用系统可用性检测</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（3）新系统上线集成</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（4）应用系统网络调整</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（5）网络设备配置管理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（6）网络规划、调整及优化</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（7）网络故障排除</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（8）网络安全运维</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3、三个校区网络中心运维服务：</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（1）网络中心基础环境监测</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（2）网络中心内部设备线路的调整</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（3）网络中心设备摆放规划与落实</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（4）网络中心设备线路标签标识与更新</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（5）网络中心运行日志的汇总与分析</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4、信息文档管理服务，通过运维软件，录入、管理信息系统的相关文档资料。具体服务内容如下：</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（1）网络中心进场设备资料的管理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（2）设备维保期限资料管理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（3）配线端口信息库维护</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（4）设备端口信息库维护</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（5）可控服务器设备信息库维护</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5、提供信息安全防御体系、监控体系、应急体系、重要的基础设施和组织架构等体系建设的咨询服务。</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6、安全通告服务以邮件、电话、走访等方式，将安全技术和安全信息及时传递给客户。</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7、购买交换路由及网络安全设备一年维保。</w:t>
      </w:r>
    </w:p>
    <w:p>
      <w:pPr>
        <w:keepNext w:val="0"/>
        <w:keepLines w:val="0"/>
        <w:pageBreakBefore w:val="0"/>
        <w:widowControl/>
        <w:kinsoku/>
        <w:wordWrap/>
        <w:overflowPunct/>
        <w:topLinePunct w:val="0"/>
        <w:bidi w:val="0"/>
        <w:spacing w:line="460" w:lineRule="exact"/>
        <w:textAlignment w:val="auto"/>
        <w:rPr>
          <w:rFonts w:hint="eastAsia" w:ascii="仿宋" w:hAnsi="仿宋" w:eastAsia="仿宋" w:cs="仿宋"/>
          <w:b/>
          <w:bCs/>
          <w:szCs w:val="21"/>
        </w:rPr>
      </w:pPr>
      <w:r>
        <w:rPr>
          <w:rFonts w:hint="eastAsia" w:ascii="仿宋" w:hAnsi="仿宋" w:eastAsia="仿宋" w:cs="仿宋"/>
          <w:b/>
          <w:bCs/>
          <w:sz w:val="24"/>
          <w:lang w:val="en-US" w:eastAsia="zh-CN"/>
        </w:rPr>
        <w:t xml:space="preserve">    二、外包服务</w:t>
      </w:r>
      <w:r>
        <w:rPr>
          <w:rFonts w:hint="eastAsia" w:ascii="仿宋" w:hAnsi="仿宋" w:eastAsia="仿宋" w:cs="仿宋"/>
          <w:b/>
          <w:bCs/>
          <w:sz w:val="24"/>
          <w:lang w:eastAsia="zh-CN"/>
        </w:rPr>
        <w:t>要求</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lang w:eastAsia="zh-CN"/>
        </w:rPr>
        <w:t>（一）</w:t>
      </w:r>
      <w:r>
        <w:rPr>
          <w:rFonts w:hint="eastAsia" w:ascii="仿宋" w:hAnsi="仿宋" w:eastAsia="仿宋" w:cs="仿宋"/>
          <w:sz w:val="24"/>
        </w:rPr>
        <w:t>驻场服务人员专业技术要求</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1、熟悉华为、H3C、思科等厂家接入层设备的配置、维护、管理工作，具有独立分析和处理网络故障的能力。</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lang w:val="en-US" w:eastAsia="zh-CN"/>
        </w:rPr>
        <w:t>2</w:t>
      </w:r>
      <w:r>
        <w:rPr>
          <w:rFonts w:hint="eastAsia" w:ascii="仿宋" w:hAnsi="仿宋" w:eastAsia="仿宋" w:cs="仿宋"/>
          <w:sz w:val="24"/>
        </w:rPr>
        <w:t>、熟悉奇安信（原来网神、网康、360）网络安全设备的配置、维护、管理工作，具有独立分析和处理故障的能力；驻场人员必须具有此厂家认证工程师证书，提供证书复印件。</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rPr>
        <w:t>3、了解办公设备，视频监视，会议设备、门禁、考勤等一卡通设备维护及故障排查方法；</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4、具有较强学习能力，责任心强，工作踏实，具有良好沟通协调能力和团队合作精神；</w:t>
      </w:r>
    </w:p>
    <w:p>
      <w:pPr>
        <w:keepNext w:val="0"/>
        <w:keepLines w:val="0"/>
        <w:pageBreakBefore w:val="0"/>
        <w:widowControl/>
        <w:kinsoku/>
        <w:wordWrap/>
        <w:overflowPunct/>
        <w:topLinePunct w:val="0"/>
        <w:bidi w:val="0"/>
        <w:spacing w:line="460" w:lineRule="exact"/>
        <w:textAlignment w:val="auto"/>
        <w:rPr>
          <w:rFonts w:hint="eastAsia" w:ascii="仿宋" w:hAnsi="仿宋" w:eastAsia="仿宋" w:cs="仿宋"/>
          <w:szCs w:val="21"/>
        </w:rPr>
      </w:pPr>
      <w:r>
        <w:rPr>
          <w:rFonts w:hint="eastAsia" w:ascii="仿宋" w:hAnsi="仿宋" w:eastAsia="仿宋" w:cs="仿宋"/>
          <w:sz w:val="24"/>
          <w:lang w:val="en-US" w:eastAsia="zh-CN"/>
        </w:rPr>
        <w:t xml:space="preserve">    （二）</w:t>
      </w:r>
      <w:r>
        <w:rPr>
          <w:rFonts w:hint="eastAsia" w:ascii="仿宋" w:hAnsi="仿宋" w:eastAsia="仿宋" w:cs="仿宋"/>
          <w:sz w:val="24"/>
        </w:rPr>
        <w:t>服务人员驻场要求</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rPr>
        <w:t>中标公司为</w:t>
      </w:r>
      <w:r>
        <w:rPr>
          <w:rFonts w:hint="eastAsia" w:ascii="仿宋" w:hAnsi="仿宋" w:eastAsia="仿宋" w:cs="仿宋"/>
          <w:sz w:val="24"/>
          <w:lang w:eastAsia="zh-CN"/>
        </w:rPr>
        <w:t>采购人</w:t>
      </w:r>
      <w:r>
        <w:rPr>
          <w:rFonts w:hint="eastAsia" w:ascii="仿宋" w:hAnsi="仿宋" w:eastAsia="仿宋" w:cs="仿宋"/>
          <w:sz w:val="24"/>
        </w:rPr>
        <w:t>装备处常年提供开学工作期间不少于2人。中标公司所派驻场人员必须胜任学校运维工作。在服务提供过程中，如果派驻人员需要调整，则中标公司必须提前一个月以上时间书面向校方提出申请，新进人员专业技术要求与招标文件的要求一致并通过各管理岗负责人培训、考核合格，并得到校方同意后方可调整。</w:t>
      </w:r>
    </w:p>
    <w:p>
      <w:pPr>
        <w:keepNext w:val="0"/>
        <w:keepLines w:val="0"/>
        <w:pageBreakBefore w:val="0"/>
        <w:widowControl/>
        <w:kinsoku/>
        <w:wordWrap/>
        <w:overflowPunct/>
        <w:topLinePunct w:val="0"/>
        <w:bidi w:val="0"/>
        <w:spacing w:line="460" w:lineRule="exact"/>
        <w:textAlignment w:val="auto"/>
        <w:rPr>
          <w:rFonts w:hint="eastAsia" w:ascii="仿宋" w:hAnsi="仿宋" w:eastAsia="仿宋" w:cs="仿宋"/>
          <w:szCs w:val="21"/>
        </w:rPr>
      </w:pPr>
      <w:r>
        <w:rPr>
          <w:rFonts w:hint="eastAsia" w:ascii="仿宋" w:hAnsi="仿宋" w:eastAsia="仿宋" w:cs="仿宋"/>
          <w:sz w:val="24"/>
          <w:lang w:val="en-US" w:eastAsia="zh-CN"/>
        </w:rPr>
        <w:t xml:space="preserve">    （三）</w:t>
      </w:r>
      <w:r>
        <w:rPr>
          <w:rFonts w:hint="eastAsia" w:ascii="仿宋" w:hAnsi="仿宋" w:eastAsia="仿宋" w:cs="仿宋"/>
          <w:sz w:val="24"/>
        </w:rPr>
        <w:t>服务人员上班制度</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1、工作日驻场服务：供应商驻场服务日期与采购单位工作日同步，并且每天上班时间比驻场服务对象的上班时间至少提前半小时，每天下班时间比驻场服务对象的下班时间至少晚半小时。</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2、非工作时间应急响应：供应商如果在非工作时间接到采购单位紧急维护任务或突发情况通知，驻场服务人员须及时响应并及时赶到现场，免费加班加点服务。</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lang w:eastAsia="zh-CN"/>
        </w:rPr>
        <w:t>（四）</w:t>
      </w:r>
      <w:r>
        <w:rPr>
          <w:rFonts w:hint="eastAsia" w:ascii="仿宋" w:hAnsi="仿宋" w:eastAsia="仿宋" w:cs="仿宋"/>
          <w:sz w:val="24"/>
        </w:rPr>
        <w:t>服务响应</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Cs w:val="21"/>
        </w:rPr>
      </w:pPr>
      <w:r>
        <w:rPr>
          <w:rFonts w:hint="eastAsia" w:ascii="仿宋" w:hAnsi="仿宋" w:eastAsia="仿宋" w:cs="仿宋"/>
          <w:sz w:val="24"/>
        </w:rPr>
        <w:t>驻场人员礼貌服务，接到报修，在主校区的5分钟内响应，15分钟内到达现场；在学田校区5分钟内响应，0.5小时内到现场；高中校区5分钟内响应，0.5小时内到现场。服务1小时内不能解决问题的和需要更换硬件的报修上报对应的管理岗负责人，并向报修人做好解释。</w:t>
      </w:r>
    </w:p>
    <w:p>
      <w:pPr>
        <w:keepNext w:val="0"/>
        <w:keepLines w:val="0"/>
        <w:pageBreakBefore w:val="0"/>
        <w:widowControl/>
        <w:kinsoku/>
        <w:wordWrap/>
        <w:overflowPunct/>
        <w:topLinePunct w:val="0"/>
        <w:bidi w:val="0"/>
        <w:spacing w:line="460" w:lineRule="exact"/>
        <w:textAlignment w:val="auto"/>
        <w:rPr>
          <w:rFonts w:hint="eastAsia" w:ascii="仿宋" w:hAnsi="仿宋" w:eastAsia="仿宋" w:cs="仿宋"/>
          <w:szCs w:val="21"/>
        </w:rPr>
      </w:pPr>
      <w:r>
        <w:rPr>
          <w:rFonts w:hint="eastAsia" w:ascii="仿宋" w:hAnsi="仿宋" w:eastAsia="仿宋" w:cs="仿宋"/>
          <w:sz w:val="24"/>
          <w:lang w:val="en-US" w:eastAsia="zh-CN"/>
        </w:rPr>
        <w:t xml:space="preserve">    （五）</w:t>
      </w:r>
      <w:r>
        <w:rPr>
          <w:rFonts w:hint="eastAsia" w:ascii="仿宋" w:hAnsi="仿宋" w:eastAsia="仿宋" w:cs="仿宋"/>
          <w:sz w:val="24"/>
        </w:rPr>
        <w:t>具体运维资产</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rPr>
      </w:pPr>
      <w:r>
        <w:rPr>
          <w:rFonts w:hint="eastAsia" w:ascii="仿宋" w:hAnsi="仿宋" w:eastAsia="仿宋" w:cs="仿宋"/>
          <w:sz w:val="24"/>
        </w:rPr>
        <w:t>本项目主要服务地点为江苏省南通田家炳中学主校区信息技术相关设备，清单如下表：</w:t>
      </w:r>
    </w:p>
    <w:tbl>
      <w:tblPr>
        <w:tblStyle w:val="7"/>
        <w:tblW w:w="8505" w:type="dxa"/>
        <w:jc w:val="center"/>
        <w:tblLayout w:type="autofit"/>
        <w:tblCellMar>
          <w:top w:w="0" w:type="dxa"/>
          <w:left w:w="108" w:type="dxa"/>
          <w:bottom w:w="0" w:type="dxa"/>
          <w:right w:w="108" w:type="dxa"/>
        </w:tblCellMar>
      </w:tblPr>
      <w:tblGrid>
        <w:gridCol w:w="527"/>
        <w:gridCol w:w="1149"/>
        <w:gridCol w:w="2093"/>
        <w:gridCol w:w="841"/>
        <w:gridCol w:w="2495"/>
        <w:gridCol w:w="574"/>
        <w:gridCol w:w="826"/>
      </w:tblGrid>
      <w:tr>
        <w:tblPrEx>
          <w:tblCellMar>
            <w:top w:w="0" w:type="dxa"/>
            <w:left w:w="108" w:type="dxa"/>
            <w:bottom w:w="0" w:type="dxa"/>
            <w:right w:w="108" w:type="dxa"/>
          </w:tblCellMar>
        </w:tblPrEx>
        <w:trPr>
          <w:trHeight w:val="280" w:hRule="atLeast"/>
          <w:jc w:val="center"/>
        </w:trPr>
        <w:tc>
          <w:tcPr>
            <w:tcW w:w="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序号</w:t>
            </w:r>
          </w:p>
        </w:tc>
        <w:tc>
          <w:tcPr>
            <w:tcW w:w="116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类别</w:t>
            </w:r>
          </w:p>
        </w:tc>
        <w:tc>
          <w:tcPr>
            <w:tcW w:w="212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设备名称</w:t>
            </w:r>
          </w:p>
        </w:tc>
        <w:tc>
          <w:tcPr>
            <w:tcW w:w="8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品牌</w:t>
            </w:r>
          </w:p>
        </w:tc>
        <w:tc>
          <w:tcPr>
            <w:tcW w:w="25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型号</w:t>
            </w:r>
          </w:p>
        </w:tc>
        <w:tc>
          <w:tcPr>
            <w:tcW w:w="57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数量</w:t>
            </w:r>
          </w:p>
        </w:tc>
        <w:tc>
          <w:tcPr>
            <w:tcW w:w="83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备注</w:t>
            </w:r>
          </w:p>
        </w:tc>
      </w:tr>
      <w:tr>
        <w:tblPrEx>
          <w:tblCellMar>
            <w:top w:w="0" w:type="dxa"/>
            <w:left w:w="108" w:type="dxa"/>
            <w:bottom w:w="0" w:type="dxa"/>
            <w:right w:w="108" w:type="dxa"/>
          </w:tblCellMar>
        </w:tblPrEx>
        <w:trPr>
          <w:trHeight w:val="560" w:hRule="atLeast"/>
          <w:jc w:val="center"/>
        </w:trPr>
        <w:tc>
          <w:tcPr>
            <w:tcW w:w="53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116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路由交换设备</w:t>
            </w: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VEPA服务器接入交换机主机</w:t>
            </w:r>
          </w:p>
        </w:tc>
        <w:tc>
          <w:tcPr>
            <w:tcW w:w="84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华三</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LS-5820V2-54QS-GE</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已过保</w:t>
            </w: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虚拟化管理平台</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VC-FSR-R390-Z-S1</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虚拟化软件</w:t>
            </w:r>
          </w:p>
        </w:tc>
        <w:tc>
          <w:tcPr>
            <w:tcW w:w="846"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VC-CAS-ENT</w:t>
            </w:r>
          </w:p>
        </w:tc>
        <w:tc>
          <w:tcPr>
            <w:tcW w:w="575" w:type="dxa"/>
            <w:tcBorders>
              <w:top w:val="nil"/>
              <w:left w:val="nil"/>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软件培训</w:t>
            </w:r>
          </w:p>
        </w:tc>
        <w:tc>
          <w:tcPr>
            <w:tcW w:w="846"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SV-MA-SFT-1Y</w:t>
            </w:r>
          </w:p>
        </w:tc>
        <w:tc>
          <w:tcPr>
            <w:tcW w:w="575" w:type="dxa"/>
            <w:tcBorders>
              <w:top w:val="nil"/>
              <w:left w:val="nil"/>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东校区汇聚交换机主机</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LS-S5500-34F-HI</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以太网接入交换机主机</w:t>
            </w:r>
          </w:p>
        </w:tc>
        <w:tc>
          <w:tcPr>
            <w:tcW w:w="846" w:type="dxa"/>
            <w:vMerge w:val="continue"/>
            <w:tcBorders>
              <w:top w:val="nil"/>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LS-S5110-28P</w:t>
            </w:r>
          </w:p>
        </w:tc>
        <w:tc>
          <w:tcPr>
            <w:tcW w:w="575" w:type="dxa"/>
            <w:tcBorders>
              <w:top w:val="nil"/>
              <w:left w:val="nil"/>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19</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网络管理平台</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SWP-IMC7-IMP</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无线业务管理组件</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SWP-IMC7-WSM</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终端智能接入组件</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SWP-IMC7-EIA</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无线控制器</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EWP-WX3510E</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智能天线双频AP</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EWP-WA4620i-ACN-FIT</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17</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X分式ap</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EWP-WA2620E-X-FIT</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5</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放装型ap</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EWP-WA2620-AGN-S-FIT</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34</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无线面板AP</w:t>
            </w:r>
          </w:p>
        </w:tc>
        <w:tc>
          <w:tcPr>
            <w:tcW w:w="84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H3C WA2610H-GN</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44</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2</w:t>
            </w:r>
          </w:p>
        </w:tc>
        <w:tc>
          <w:tcPr>
            <w:tcW w:w="116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安全设备</w:t>
            </w: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防火墙</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原网神（奇安信）</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NSG5000-TG20-PS</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未过保</w:t>
            </w:r>
          </w:p>
        </w:tc>
      </w:tr>
      <w:tr>
        <w:tblPrEx>
          <w:tblCellMar>
            <w:top w:w="0" w:type="dxa"/>
            <w:left w:w="108" w:type="dxa"/>
            <w:bottom w:w="0" w:type="dxa"/>
            <w:right w:w="108" w:type="dxa"/>
          </w:tblCellMar>
        </w:tblPrEx>
        <w:trPr>
          <w:trHeight w:val="56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上网行为管理</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原网康（奇安信）</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NI3200-T5</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已过保</w:t>
            </w:r>
          </w:p>
        </w:tc>
      </w:tr>
      <w:tr>
        <w:tblPrEx>
          <w:tblCellMar>
            <w:top w:w="0" w:type="dxa"/>
            <w:left w:w="108" w:type="dxa"/>
            <w:bottom w:w="0" w:type="dxa"/>
            <w:right w:w="108" w:type="dxa"/>
          </w:tblCellMar>
        </w:tblPrEx>
        <w:trPr>
          <w:trHeight w:val="84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出口管理主机</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华三</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NS-SecPath ACG1000-M-AC1+1Y</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已过保</w:t>
            </w:r>
          </w:p>
        </w:tc>
      </w:tr>
      <w:tr>
        <w:tblPrEx>
          <w:tblCellMar>
            <w:top w:w="0" w:type="dxa"/>
            <w:left w:w="108" w:type="dxa"/>
            <w:bottom w:w="0" w:type="dxa"/>
            <w:right w:w="108" w:type="dxa"/>
          </w:tblCellMar>
        </w:tblPrEx>
        <w:trPr>
          <w:trHeight w:val="280" w:hRule="atLeast"/>
          <w:jc w:val="center"/>
        </w:trPr>
        <w:tc>
          <w:tcPr>
            <w:tcW w:w="53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3</w:t>
            </w:r>
          </w:p>
        </w:tc>
        <w:tc>
          <w:tcPr>
            <w:tcW w:w="116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终端设备</w:t>
            </w: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教室终端</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戴尔台式机</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戴尔台式机</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120</w:t>
            </w:r>
          </w:p>
        </w:tc>
        <w:tc>
          <w:tcPr>
            <w:tcW w:w="835"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未过保</w:t>
            </w: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教师终端</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戴尔笔记本</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戴尔笔记本</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80</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560" w:hRule="atLeast"/>
          <w:jc w:val="center"/>
        </w:trPr>
        <w:tc>
          <w:tcPr>
            <w:tcW w:w="53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4</w:t>
            </w:r>
          </w:p>
        </w:tc>
        <w:tc>
          <w:tcPr>
            <w:tcW w:w="116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云桌面设备</w:t>
            </w: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VDI主机</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锐捷</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RG-RCD6000E V3</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r>
              <w:rPr>
                <w:rFonts w:hint="eastAsia" w:ascii="仿宋" w:hAnsi="仿宋" w:eastAsia="仿宋" w:cs="仿宋"/>
                <w:b/>
                <w:bCs/>
                <w:color w:val="000000"/>
                <w:kern w:val="0"/>
                <w:sz w:val="20"/>
                <w:szCs w:val="22"/>
              </w:rPr>
              <w:t>未过保</w:t>
            </w: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VDI终端</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锐捷</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RG-Rain100 V2</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1</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IDV终端</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锐捷</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RG-CT6200</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56</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外设产品</w:t>
            </w: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锐捷</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RG-RCC KM-S</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56</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r>
        <w:tblPrEx>
          <w:tblCellMar>
            <w:top w:w="0" w:type="dxa"/>
            <w:left w:w="108" w:type="dxa"/>
            <w:bottom w:w="0" w:type="dxa"/>
            <w:right w:w="108" w:type="dxa"/>
          </w:tblCellMar>
        </w:tblPrEx>
        <w:trPr>
          <w:trHeight w:val="280" w:hRule="atLeast"/>
          <w:jc w:val="center"/>
        </w:trPr>
        <w:tc>
          <w:tcPr>
            <w:tcW w:w="53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116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2127"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p>
        </w:tc>
        <w:tc>
          <w:tcPr>
            <w:tcW w:w="84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锐捷</w:t>
            </w:r>
          </w:p>
        </w:tc>
        <w:tc>
          <w:tcPr>
            <w:tcW w:w="250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RG-CPM2100</w:t>
            </w:r>
          </w:p>
        </w:tc>
        <w:tc>
          <w:tcPr>
            <w:tcW w:w="575"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color w:val="000000"/>
                <w:kern w:val="0"/>
                <w:sz w:val="20"/>
                <w:szCs w:val="22"/>
              </w:rPr>
            </w:pPr>
            <w:r>
              <w:rPr>
                <w:rFonts w:hint="eastAsia" w:ascii="仿宋" w:hAnsi="仿宋" w:eastAsia="仿宋" w:cs="仿宋"/>
                <w:color w:val="000000"/>
                <w:kern w:val="0"/>
                <w:sz w:val="20"/>
                <w:szCs w:val="22"/>
              </w:rPr>
              <w:t>56</w:t>
            </w:r>
          </w:p>
        </w:tc>
        <w:tc>
          <w:tcPr>
            <w:tcW w:w="835"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60" w:lineRule="exact"/>
              <w:jc w:val="center"/>
              <w:textAlignment w:val="auto"/>
              <w:rPr>
                <w:rFonts w:hint="eastAsia" w:ascii="仿宋" w:hAnsi="仿宋" w:eastAsia="仿宋" w:cs="仿宋"/>
                <w:b/>
                <w:bCs/>
                <w:color w:val="000000"/>
                <w:kern w:val="0"/>
                <w:sz w:val="20"/>
                <w:szCs w:val="22"/>
              </w:rPr>
            </w:pPr>
          </w:p>
        </w:tc>
      </w:tr>
    </w:tbl>
    <w:p>
      <w:pPr>
        <w:keepNext w:val="0"/>
        <w:keepLines w:val="0"/>
        <w:pageBreakBefore w:val="0"/>
        <w:widowControl/>
        <w:kinsoku/>
        <w:wordWrap/>
        <w:overflowPunct/>
        <w:topLinePunct w:val="0"/>
        <w:bidi w:val="0"/>
        <w:spacing w:line="460" w:lineRule="exact"/>
        <w:textAlignment w:val="auto"/>
        <w:rPr>
          <w:rFonts w:hint="eastAsia" w:ascii="仿宋" w:hAnsi="仿宋" w:eastAsia="仿宋" w:cs="仿宋"/>
          <w:szCs w:val="21"/>
        </w:rPr>
      </w:pPr>
    </w:p>
    <w:p>
      <w:pPr>
        <w:keepNext w:val="0"/>
        <w:keepLines w:val="0"/>
        <w:pageBreakBefore w:val="0"/>
        <w:widowControl/>
        <w:kinsoku/>
        <w:wordWrap/>
        <w:overflowPunct/>
        <w:topLinePunct w:val="0"/>
        <w:bidi w:val="0"/>
        <w:spacing w:line="460" w:lineRule="exact"/>
        <w:ind w:left="963" w:leftChars="229" w:hanging="482" w:hangingChars="200"/>
        <w:jc w:val="both"/>
        <w:textAlignment w:val="auto"/>
        <w:rPr>
          <w:rFonts w:hint="eastAsia" w:ascii="仿宋" w:hAnsi="仿宋" w:eastAsia="仿宋" w:cs="仿宋"/>
          <w:b/>
          <w:bCs/>
          <w:sz w:val="24"/>
        </w:rPr>
      </w:pPr>
      <w:r>
        <w:rPr>
          <w:rFonts w:hint="eastAsia" w:ascii="仿宋" w:hAnsi="仿宋" w:eastAsia="仿宋" w:cs="仿宋"/>
          <w:b/>
          <w:bCs/>
          <w:sz w:val="24"/>
        </w:rPr>
        <w:t>注：以上设备数量为预估量，在维保期内，以上设备数量会有所增减，所有增减量一并纳入本次项目的维护范围。投标时提供路由交换及网络安全设备厂家原厂质保函复印件，签订合同前提供原件。</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lang w:eastAsia="zh-CN"/>
        </w:rPr>
        <w:t>三、</w:t>
      </w:r>
      <w:r>
        <w:rPr>
          <w:rFonts w:hint="eastAsia" w:ascii="仿宋" w:hAnsi="仿宋" w:eastAsia="仿宋" w:cs="仿宋"/>
          <w:b/>
          <w:bCs/>
          <w:sz w:val="24"/>
          <w:szCs w:val="24"/>
        </w:rPr>
        <w:t>采购标的数量、采购项目交付或者实施的时间和地点</w:t>
      </w:r>
    </w:p>
    <w:p>
      <w:pPr>
        <w:keepNext w:val="0"/>
        <w:keepLines w:val="0"/>
        <w:pageBreakBefore w:val="0"/>
        <w:widowControl/>
        <w:kinsoku/>
        <w:wordWrap/>
        <w:overflowPunct/>
        <w:topLinePunct w:val="0"/>
        <w:bidi w:val="0"/>
        <w:spacing w:line="460" w:lineRule="exact"/>
        <w:ind w:firstLine="48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4"/>
        </w:rPr>
        <w:t>地点：江苏省南通田家炳中学</w:t>
      </w:r>
      <w:r>
        <w:rPr>
          <w:rFonts w:hint="eastAsia" w:ascii="仿宋" w:hAnsi="仿宋" w:eastAsia="仿宋" w:cs="仿宋"/>
          <w:sz w:val="24"/>
          <w:lang w:eastAsia="zh-CN"/>
        </w:rPr>
        <w:t>（</w:t>
      </w:r>
      <w:r>
        <w:rPr>
          <w:rFonts w:hint="eastAsia" w:ascii="仿宋" w:hAnsi="仿宋" w:eastAsia="仿宋" w:cs="仿宋"/>
          <w:sz w:val="24"/>
          <w:lang w:val="en-US" w:eastAsia="zh-CN"/>
        </w:rPr>
        <w:t>3个校区</w:t>
      </w:r>
      <w:r>
        <w:rPr>
          <w:rFonts w:hint="eastAsia" w:ascii="仿宋" w:hAnsi="仿宋" w:eastAsia="仿宋" w:cs="仿宋"/>
          <w:sz w:val="24"/>
          <w:lang w:eastAsia="zh-CN"/>
        </w:rPr>
        <w:t>）</w:t>
      </w:r>
    </w:p>
    <w:p>
      <w:pPr>
        <w:keepNext w:val="0"/>
        <w:keepLines w:val="0"/>
        <w:pageBreakBefore w:val="0"/>
        <w:widowControl/>
        <w:kinsoku/>
        <w:wordWrap/>
        <w:overflowPunct/>
        <w:topLinePunct w:val="0"/>
        <w:bidi w:val="0"/>
        <w:spacing w:line="460" w:lineRule="exact"/>
        <w:ind w:firstLine="480" w:firstLineChars="200"/>
        <w:jc w:val="left"/>
        <w:textAlignment w:val="auto"/>
        <w:rPr>
          <w:rFonts w:hint="eastAsia" w:ascii="仿宋" w:hAnsi="仿宋" w:eastAsia="仿宋" w:cs="仿宋"/>
          <w:sz w:val="28"/>
          <w:szCs w:val="28"/>
        </w:rPr>
      </w:pPr>
      <w:r>
        <w:rPr>
          <w:rFonts w:hint="eastAsia" w:ascii="仿宋" w:hAnsi="仿宋" w:eastAsia="仿宋" w:cs="仿宋"/>
          <w:sz w:val="24"/>
        </w:rPr>
        <w:t>实施时间：自合同签订起一年</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四、采购标的需满足的服务标准、期限、效率等要求</w:t>
      </w:r>
    </w:p>
    <w:p>
      <w:pPr>
        <w:keepNext w:val="0"/>
        <w:keepLines w:val="0"/>
        <w:pageBreakBefore w:val="0"/>
        <w:widowControl/>
        <w:kinsoku/>
        <w:wordWrap/>
        <w:overflowPunct/>
        <w:topLinePunct w:val="0"/>
        <w:bidi w:val="0"/>
        <w:spacing w:line="46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本项目为购买服务，以上服务内容按年购买服务，按照通财购【2018】19号文“延续部分服务类项目合同续签规定”在合同期满后，在供应商不增加服务费、双方自愿的前提下，合同期延长，有效期三年。</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五、采购标的其他技术、服务等要求</w:t>
      </w:r>
    </w:p>
    <w:p>
      <w:pPr>
        <w:keepNext w:val="0"/>
        <w:keepLines w:val="0"/>
        <w:pageBreakBefore w:val="0"/>
        <w:widowControl/>
        <w:kinsoku/>
        <w:wordWrap/>
        <w:overflowPunct/>
        <w:topLinePunct w:val="0"/>
        <w:bidi w:val="0"/>
        <w:spacing w:line="46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在合同期内，重大安全运维服务响应不到位，采购方遭受入侵、攻击事故，按照每个事故2000元进行考核（因采购方硬件设备功能无法抵抗入侵攻击或不可抗拒因素除外）；并且合同签订时须附保密协议。</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eastAsia="zh-CN"/>
        </w:rPr>
        <w:t>六、商务要求</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1、付款方式：合同签订后的5个工作日，支付合同总金额的50%；运维期第七月开始，中标供应商支付10%履约金后的5个工作日内支付合同剩余金额，待本项目维护工作完成，支付10%履约金，不计利息。</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en-US" w:eastAsia="zh-CN"/>
        </w:rPr>
        <w:t>2、</w:t>
      </w:r>
      <w:r>
        <w:rPr>
          <w:rFonts w:hint="eastAsia" w:ascii="仿宋" w:hAnsi="仿宋" w:eastAsia="仿宋" w:cs="仿宋"/>
          <w:sz w:val="24"/>
          <w:lang w:val="zh-CN" w:eastAsia="zh-CN"/>
        </w:rPr>
        <w:t>签订合同：自采购人中标（成交）通知书发出之日起</w:t>
      </w:r>
      <w:r>
        <w:rPr>
          <w:rFonts w:hint="eastAsia" w:ascii="仿宋" w:hAnsi="仿宋" w:eastAsia="仿宋" w:cs="仿宋"/>
          <w:sz w:val="24"/>
          <w:lang w:val="en-US" w:eastAsia="zh-CN"/>
        </w:rPr>
        <w:t>15</w:t>
      </w:r>
      <w:r>
        <w:rPr>
          <w:rFonts w:hint="eastAsia" w:ascii="仿宋" w:hAnsi="仿宋" w:eastAsia="仿宋" w:cs="仿宋"/>
          <w:sz w:val="24"/>
          <w:lang w:val="zh-CN" w:eastAsia="zh-CN"/>
        </w:rPr>
        <w:t>日内按时签约。</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en-US" w:eastAsia="zh-CN"/>
        </w:rPr>
        <w:t>3</w:t>
      </w:r>
      <w:r>
        <w:rPr>
          <w:rFonts w:hint="eastAsia" w:ascii="仿宋" w:hAnsi="仿宋" w:eastAsia="仿宋" w:cs="仿宋"/>
          <w:sz w:val="24"/>
          <w:lang w:val="zh-CN" w:eastAsia="zh-CN"/>
        </w:rPr>
        <w:t>、服务期限：</w:t>
      </w:r>
      <w:r>
        <w:rPr>
          <w:rFonts w:hint="eastAsia" w:ascii="仿宋" w:hAnsi="仿宋" w:eastAsia="仿宋" w:cs="仿宋"/>
          <w:sz w:val="24"/>
          <w:lang w:val="en-US" w:eastAsia="zh-CN"/>
        </w:rPr>
        <w:t>1年</w:t>
      </w:r>
      <w:r>
        <w:rPr>
          <w:rFonts w:hint="eastAsia" w:ascii="仿宋" w:hAnsi="仿宋" w:eastAsia="仿宋" w:cs="仿宋"/>
          <w:sz w:val="24"/>
          <w:lang w:val="zh-CN" w:eastAsia="zh-CN"/>
        </w:rPr>
        <w:t>。</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4、其他：响应报价应包括询价文件所确定的各种因素、风险及所需的全部费用。</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lang w:val="zh-CN" w:eastAsia="zh-CN"/>
        </w:rPr>
      </w:pPr>
      <w:r>
        <w:rPr>
          <w:rFonts w:hint="eastAsia" w:ascii="仿宋" w:hAnsi="仿宋" w:eastAsia="仿宋" w:cs="仿宋"/>
          <w:b/>
          <w:bCs/>
          <w:sz w:val="24"/>
          <w:szCs w:val="24"/>
          <w:lang w:val="zh-CN" w:eastAsia="zh-CN"/>
        </w:rPr>
        <w:t>七、开标、评标</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1、时间：202</w:t>
      </w:r>
      <w:r>
        <w:rPr>
          <w:rFonts w:hint="eastAsia" w:ascii="仿宋" w:hAnsi="仿宋" w:eastAsia="仿宋" w:cs="仿宋"/>
          <w:sz w:val="24"/>
          <w:lang w:val="en-US" w:eastAsia="zh-CN"/>
        </w:rPr>
        <w:t>1</w:t>
      </w:r>
      <w:r>
        <w:rPr>
          <w:rFonts w:hint="eastAsia" w:ascii="仿宋" w:hAnsi="仿宋" w:eastAsia="仿宋" w:cs="仿宋"/>
          <w:sz w:val="24"/>
          <w:lang w:val="zh-CN" w:eastAsia="zh-CN"/>
        </w:rPr>
        <w:t>年</w:t>
      </w:r>
      <w:r>
        <w:rPr>
          <w:rFonts w:hint="eastAsia" w:ascii="仿宋" w:hAnsi="仿宋" w:eastAsia="仿宋" w:cs="仿宋"/>
          <w:sz w:val="24"/>
          <w:lang w:val="en-US" w:eastAsia="zh-CN"/>
        </w:rPr>
        <w:t>5</w:t>
      </w:r>
      <w:r>
        <w:rPr>
          <w:rFonts w:hint="eastAsia" w:ascii="仿宋" w:hAnsi="仿宋" w:eastAsia="仿宋" w:cs="仿宋"/>
          <w:sz w:val="24"/>
          <w:lang w:val="zh-CN" w:eastAsia="zh-CN"/>
        </w:rPr>
        <w:t>月</w:t>
      </w:r>
      <w:r>
        <w:rPr>
          <w:rFonts w:hint="eastAsia" w:ascii="仿宋" w:hAnsi="仿宋" w:eastAsia="仿宋" w:cs="仿宋"/>
          <w:sz w:val="24"/>
          <w:lang w:val="en-US" w:eastAsia="zh-CN"/>
        </w:rPr>
        <w:t>11</w:t>
      </w:r>
      <w:r>
        <w:rPr>
          <w:rFonts w:hint="eastAsia" w:ascii="仿宋" w:hAnsi="仿宋" w:eastAsia="仿宋" w:cs="仿宋"/>
          <w:sz w:val="24"/>
          <w:lang w:val="zh-CN" w:eastAsia="zh-CN"/>
        </w:rPr>
        <w:t>日</w:t>
      </w:r>
      <w:r>
        <w:rPr>
          <w:rFonts w:hint="eastAsia" w:ascii="仿宋" w:hAnsi="仿宋" w:eastAsia="仿宋" w:cs="仿宋"/>
          <w:sz w:val="24"/>
          <w:lang w:val="en-US" w:eastAsia="zh-CN"/>
        </w:rPr>
        <w:t>9</w:t>
      </w:r>
      <w:r>
        <w:rPr>
          <w:rFonts w:hint="eastAsia" w:ascii="仿宋" w:hAnsi="仿宋" w:eastAsia="仿宋" w:cs="仿宋"/>
          <w:sz w:val="24"/>
          <w:lang w:val="zh-CN" w:eastAsia="zh-CN"/>
        </w:rPr>
        <w:t>时</w:t>
      </w:r>
      <w:r>
        <w:rPr>
          <w:rFonts w:hint="eastAsia" w:ascii="仿宋" w:hAnsi="仿宋" w:eastAsia="仿宋" w:cs="仿宋"/>
          <w:sz w:val="24"/>
          <w:lang w:val="en-US" w:eastAsia="zh-CN"/>
        </w:rPr>
        <w:t>30</w:t>
      </w:r>
      <w:r>
        <w:rPr>
          <w:rFonts w:hint="eastAsia" w:ascii="仿宋" w:hAnsi="仿宋" w:eastAsia="仿宋" w:cs="仿宋"/>
          <w:sz w:val="24"/>
          <w:lang w:val="zh-CN" w:eastAsia="zh-CN"/>
        </w:rPr>
        <w:t xml:space="preserve"> 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zh-CN" w:eastAsia="zh-CN"/>
        </w:rPr>
        <w:t>2、地点：</w:t>
      </w:r>
      <w:r>
        <w:rPr>
          <w:rFonts w:hint="eastAsia" w:ascii="仿宋" w:hAnsi="仿宋" w:eastAsia="仿宋" w:cs="仿宋"/>
          <w:sz w:val="24"/>
          <w:lang w:val="en-US" w:eastAsia="zh-CN"/>
        </w:rPr>
        <w:t>江苏中润工程建设咨询有限公司会议室</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地址：南通市青年中路2号姚港路口石油大楼院内</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3、评标流程:评标委员会将根据招标文件相关标准对供应商的资格进行审查，审查通过方可参与项目的价格评标。符合要求的前提下，报价最低者成交,报价如有相同者，</w:t>
      </w:r>
      <w:r>
        <w:rPr>
          <w:rFonts w:hint="eastAsia" w:ascii="仿宋" w:hAnsi="仿宋" w:eastAsia="仿宋" w:cs="仿宋"/>
          <w:sz w:val="24"/>
          <w:lang w:val="en-US" w:eastAsia="zh-CN"/>
        </w:rPr>
        <w:t>现场进行第二轮报价，</w:t>
      </w:r>
      <w:r>
        <w:rPr>
          <w:rFonts w:hint="eastAsia" w:ascii="仿宋" w:hAnsi="仿宋" w:eastAsia="仿宋" w:cs="仿宋"/>
          <w:sz w:val="24"/>
          <w:lang w:val="zh-CN" w:eastAsia="zh-CN"/>
        </w:rPr>
        <w:t>报价最低者成交，</w:t>
      </w:r>
      <w:r>
        <w:rPr>
          <w:rFonts w:hint="eastAsia" w:ascii="仿宋" w:hAnsi="仿宋" w:eastAsia="仿宋" w:cs="仿宋"/>
          <w:sz w:val="24"/>
          <w:lang w:val="en-US" w:eastAsia="zh-CN"/>
        </w:rPr>
        <w:t>如仍然相同，则继续报价，直至产生成交供应商为止</w:t>
      </w:r>
      <w:r>
        <w:rPr>
          <w:rFonts w:hint="eastAsia" w:ascii="仿宋" w:hAnsi="仿宋" w:eastAsia="仿宋" w:cs="仿宋"/>
          <w:sz w:val="24"/>
          <w:lang w:val="zh-CN" w:eastAsia="zh-CN"/>
        </w:rPr>
        <w:t>。</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4、询价小组负责具体评标事务。</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lang w:val="zh-CN" w:eastAsia="zh-CN"/>
        </w:rPr>
      </w:pPr>
      <w:r>
        <w:rPr>
          <w:rFonts w:hint="eastAsia" w:ascii="仿宋" w:hAnsi="仿宋" w:eastAsia="仿宋" w:cs="仿宋"/>
          <w:b/>
          <w:bCs/>
          <w:sz w:val="24"/>
          <w:szCs w:val="24"/>
          <w:lang w:val="zh-CN" w:eastAsia="zh-CN"/>
        </w:rPr>
        <w:t>八、投标费用</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1、无论询价过程和结果如何，参加询价的响应人自行承担与本次项目询价有关的全部费用。</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2、本项目询价文件费300元，在开标现场支付给代理机构，无论成交与否不予退还。</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3、本项目招标代理费</w:t>
      </w:r>
      <w:r>
        <w:rPr>
          <w:rFonts w:hint="eastAsia" w:ascii="仿宋" w:hAnsi="仿宋" w:eastAsia="仿宋" w:cs="仿宋"/>
          <w:sz w:val="24"/>
          <w:lang w:val="en-US" w:eastAsia="zh-CN"/>
        </w:rPr>
        <w:t>1500元。</w:t>
      </w:r>
      <w:r>
        <w:rPr>
          <w:rFonts w:hint="eastAsia" w:ascii="仿宋" w:hAnsi="仿宋" w:eastAsia="仿宋" w:cs="仿宋"/>
          <w:sz w:val="24"/>
          <w:lang w:val="zh-CN" w:eastAsia="zh-CN"/>
        </w:rPr>
        <w:t>评委费按南通市财政局通财购（2018）18号文执行，由成交供应商付给代理机构。投标人须综合考虑在投标响应报价内。</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4、询价文件未列明，而投标供应商认为必需的费用也需列入报价。</w:t>
      </w:r>
    </w:p>
    <w:p>
      <w:pPr>
        <w:keepNext w:val="0"/>
        <w:keepLines w:val="0"/>
        <w:pageBreakBefore w:val="0"/>
        <w:numPr>
          <w:ilvl w:val="0"/>
          <w:numId w:val="0"/>
        </w:numPr>
        <w:tabs>
          <w:tab w:val="left" w:pos="142"/>
        </w:tabs>
        <w:kinsoku/>
        <w:wordWrap/>
        <w:overflowPunct/>
        <w:topLinePunct w:val="0"/>
        <w:bidi w:val="0"/>
        <w:snapToGrid w:val="0"/>
        <w:spacing w:line="460" w:lineRule="exact"/>
        <w:ind w:firstLine="482" w:firstLineChars="200"/>
        <w:textAlignment w:val="auto"/>
        <w:rPr>
          <w:rFonts w:hint="eastAsia" w:ascii="仿宋" w:hAnsi="仿宋" w:eastAsia="仿宋" w:cs="仿宋"/>
          <w:b/>
          <w:bCs/>
          <w:sz w:val="24"/>
          <w:szCs w:val="24"/>
          <w:lang w:val="zh-CN" w:eastAsia="zh-CN"/>
        </w:rPr>
      </w:pPr>
      <w:r>
        <w:rPr>
          <w:rFonts w:hint="eastAsia" w:ascii="仿宋" w:hAnsi="仿宋" w:eastAsia="仿宋" w:cs="仿宋"/>
          <w:b/>
          <w:bCs/>
          <w:sz w:val="24"/>
          <w:szCs w:val="24"/>
          <w:lang w:val="zh-CN" w:eastAsia="zh-CN"/>
        </w:rPr>
        <w:t>九、询价响应文件的编写及装订</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（一）询价响应文件应包括下列内容：</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A、资格审查文件：</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bookmarkStart w:id="0" w:name="_Hlk37946189"/>
      <w:r>
        <w:rPr>
          <w:rFonts w:hint="eastAsia" w:ascii="仿宋" w:hAnsi="仿宋" w:eastAsia="仿宋" w:cs="仿宋"/>
          <w:sz w:val="24"/>
          <w:lang w:val="zh-CN" w:eastAsia="zh-CN"/>
        </w:rPr>
        <w:t>1．法人代表人参加询价的提供法人代表身份证明及本人身份证复印件；非法人代表参加询价的，提供法人委托书、被委托人身份证复印件；</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2.有效的营业执照（副本）的复印件加盖公章；</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3.符合政府采购法22条规定的声明；</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4.服务承诺（格式自拟）</w:t>
      </w:r>
    </w:p>
    <w:bookmarkEnd w:id="0"/>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B、商务报价响应文件</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商务报价应包括询价文件所确定的全部范围及相应说明的全部内容，包括本次项目实施中的所有费用。</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1.开标一览表。</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特别提醒：响应文件所须提供的材料（须加盖投标供应商公章）按询价文件要求装订，密封，递交。</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（二）询价响应文件的编制及装订</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1、询价响应文件由：①资格审查文件、②商务报价响应文件共两部分组成。</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供应商按询价文件要求编写响应文件，并牢固装订成册。询价响应文件均需采用A4纸（图纸等除外）装订成册。询价响应文件不得行间插字、涂改、增删，如修改错漏处，须经询价响应文件签署人签字并加盖公章。</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3、询价响应文件的 “资格审查文件”、 “商务报价响应文件”各自装订成册。特别提示：“商务报价响应文件”必须单独装订和封装，不得出现在“资格审查文件”中。</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（三）询价响应文件的份数、签署</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1、供应商应准备</w:t>
      </w:r>
      <w:r>
        <w:rPr>
          <w:rFonts w:hint="eastAsia" w:ascii="仿宋" w:hAnsi="仿宋" w:eastAsia="仿宋" w:cs="仿宋"/>
          <w:sz w:val="24"/>
          <w:u w:val="single"/>
          <w:lang w:val="zh-CN" w:eastAsia="zh-CN"/>
        </w:rPr>
        <w:t xml:space="preserve"> 叁 </w:t>
      </w:r>
      <w:r>
        <w:rPr>
          <w:rFonts w:hint="eastAsia" w:ascii="仿宋" w:hAnsi="仿宋" w:eastAsia="仿宋" w:cs="仿宋"/>
          <w:sz w:val="24"/>
          <w:lang w:val="zh-CN" w:eastAsia="zh-CN"/>
        </w:rPr>
        <w:t>份完整的询价响应文件，其中正本</w:t>
      </w:r>
      <w:r>
        <w:rPr>
          <w:rFonts w:hint="eastAsia" w:ascii="仿宋" w:hAnsi="仿宋" w:eastAsia="仿宋" w:cs="仿宋"/>
          <w:sz w:val="24"/>
          <w:u w:val="single"/>
          <w:lang w:val="zh-CN" w:eastAsia="zh-CN"/>
        </w:rPr>
        <w:t xml:space="preserve"> 壹 </w:t>
      </w:r>
      <w:r>
        <w:rPr>
          <w:rFonts w:hint="eastAsia" w:ascii="仿宋" w:hAnsi="仿宋" w:eastAsia="仿宋" w:cs="仿宋"/>
          <w:sz w:val="24"/>
          <w:lang w:val="zh-CN" w:eastAsia="zh-CN"/>
        </w:rPr>
        <w:t>份，副本</w:t>
      </w:r>
      <w:r>
        <w:rPr>
          <w:rFonts w:hint="eastAsia" w:ascii="仿宋" w:hAnsi="仿宋" w:eastAsia="仿宋" w:cs="仿宋"/>
          <w:sz w:val="24"/>
          <w:u w:val="single"/>
          <w:lang w:val="zh-CN" w:eastAsia="zh-CN"/>
        </w:rPr>
        <w:t xml:space="preserve"> 贰 </w:t>
      </w:r>
      <w:r>
        <w:rPr>
          <w:rFonts w:hint="eastAsia" w:ascii="仿宋" w:hAnsi="仿宋" w:eastAsia="仿宋" w:cs="仿宋"/>
          <w:sz w:val="24"/>
          <w:lang w:val="zh-CN" w:eastAsia="zh-CN"/>
        </w:rPr>
        <w:t>份，并标明“正本”或“副本”字样，若有差异，概以“正本”为准。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2、询价响应文件分两册密封。第一册为“资格审查文件”，第二册为“商务报价响应文件”，响应文件的第一册、第二册应分别密封，并在封袋上标明“第一册 资格审查文件”、 “第二册 商务报价响应文件”以及项目名称。</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3、供应商可将询价响应文件正副本统一密封或分别密封，如正本和副本分别密封的，应在封袋上标明正、副本字样。</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4、询价响应文件正本须按询价文件要求由法定代表人或被授权人签字或盖章并加盖单位印章。副本可复印，但须加盖单位印章。</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（四）询价响应文件的密封及标记</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密封后应标明响应文件项目名称、供应商名称，边缝处加盖单位骑缝章或骑缝签字。</w:t>
      </w: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sz w:val="24"/>
          <w:lang w:val="zh-CN" w:eastAsia="zh-CN"/>
        </w:rPr>
      </w:pPr>
      <w:r>
        <w:rPr>
          <w:rFonts w:hint="eastAsia" w:ascii="仿宋" w:hAnsi="仿宋" w:eastAsia="仿宋" w:cs="仿宋"/>
          <w:b/>
          <w:bCs/>
          <w:sz w:val="24"/>
          <w:lang w:val="zh-CN" w:eastAsia="zh-CN"/>
        </w:rPr>
        <w:t>十、出现下列情形之一的，作无效投标处理</w:t>
      </w:r>
      <w:r>
        <w:rPr>
          <w:rFonts w:hint="eastAsia" w:ascii="仿宋" w:hAnsi="仿宋" w:eastAsia="仿宋" w:cs="仿宋"/>
          <w:sz w:val="24"/>
          <w:lang w:val="zh-CN" w:eastAsia="zh-CN"/>
        </w:rPr>
        <w:t>：</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1、未按照招标文件的规定提交投标保证金的（本项目不涉及）；</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2、投标文件未按招标文件要求签署、盖章的；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3、不具备招标文件中规定的资格要求的；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4、报价超过招标文件中规定的预算金额或者最高限价的；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5、询价响应文件资格审查文件部分出现商务报价的内容；</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6、投标文件含有采购人不能接受的附加条件的；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7、法律、法规和招标文件规定的其他无效情形。</w:t>
      </w: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b/>
          <w:bCs/>
          <w:sz w:val="24"/>
          <w:lang w:val="zh-CN" w:eastAsia="zh-CN"/>
        </w:rPr>
      </w:pPr>
      <w:r>
        <w:rPr>
          <w:rFonts w:hint="eastAsia" w:ascii="仿宋" w:hAnsi="仿宋" w:eastAsia="仿宋" w:cs="仿宋"/>
          <w:b/>
          <w:bCs/>
          <w:sz w:val="24"/>
          <w:lang w:val="zh-CN" w:eastAsia="zh-CN"/>
        </w:rPr>
        <w:t>十一、有下列情形之一的，视为投标供应商串通投标，其投标无效：</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1、不同投标供应商的投标文件由同一单位或者个人编制；</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2、不同投标供应商委托同一单位或者个人办理投标事宜；</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3、不同投标供应商的投标文件载明的项目管理成员或者联系人员为同一人；</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4、不同投标供应商的投标文件异常一致或者投标报价呈规律性差异；</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5、不同投标供应商的投标文件相互混装。</w:t>
      </w: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b/>
          <w:bCs/>
          <w:sz w:val="24"/>
          <w:lang w:val="zh-CN" w:eastAsia="zh-CN"/>
        </w:rPr>
      </w:pPr>
      <w:r>
        <w:rPr>
          <w:rFonts w:hint="eastAsia" w:ascii="仿宋" w:hAnsi="仿宋" w:eastAsia="仿宋" w:cs="仿宋"/>
          <w:b/>
          <w:bCs/>
          <w:sz w:val="24"/>
          <w:lang w:val="zh-CN" w:eastAsia="zh-CN"/>
        </w:rPr>
        <w:t>十二、变更为其他方式采购的情形处理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依据《政府采购货物和服务招标投标管理办法》财政部87号令第四十三条的规定：公开招标数额标准以上的采购项目，投标截止后供应商不足3家或者通过资格审查或符合性审查的供应商不足3家的，除采购任务取消情形外，按照以下方式处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1、招标文件存在不合理条款或者招标程序不符合规定的，采购人、采购代理机构改正后依法重新招标；</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2、招标文件没有不合理条款、招标程序符合规定，需要采用其他采购方式采购的，采购人应当依法报财政部门批准。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依据《政府采购非招标采购方式管理办法》财政部74号令第三条第（三）款的规定：达到公开招标数额标准、经批准采用非公开招标的货物、服务，可以采用竞争性谈判、单一来源采购方式采购，采购货物的，还可以采用询价采购方式。</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4、本项目如实质性响应供应商不足3家的，报经采购单位领导同意后，可视情改为竞争性谈判。</w:t>
      </w: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b/>
          <w:bCs/>
          <w:sz w:val="24"/>
          <w:lang w:val="zh-CN" w:eastAsia="zh-CN"/>
        </w:rPr>
      </w:pPr>
      <w:r>
        <w:rPr>
          <w:rFonts w:hint="eastAsia" w:ascii="仿宋" w:hAnsi="仿宋" w:eastAsia="仿宋" w:cs="仿宋"/>
          <w:b/>
          <w:bCs/>
          <w:sz w:val="24"/>
          <w:lang w:val="zh-CN" w:eastAsia="zh-CN"/>
        </w:rPr>
        <w:t>十三、出现下列情形之一的，作废标处理：</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1、出现影响采购公正的违法违规行为的；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2、所有投标供应商报价超出采购预算价的；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3、因重大变故，采购任务被取消的；</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4、评标委员会依据法律法规可以认定为废标的其他情况。</w:t>
      </w: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b/>
          <w:bCs/>
          <w:sz w:val="24"/>
          <w:lang w:val="zh-CN" w:eastAsia="zh-CN"/>
        </w:rPr>
      </w:pPr>
      <w:r>
        <w:rPr>
          <w:rFonts w:hint="eastAsia" w:ascii="仿宋" w:hAnsi="仿宋" w:eastAsia="仿宋" w:cs="仿宋"/>
          <w:b/>
          <w:bCs/>
          <w:sz w:val="24"/>
          <w:lang w:val="zh-CN" w:eastAsia="zh-CN"/>
        </w:rPr>
        <w:t>十四、成交通知</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1、采购人自成交人确定之日起2个工作日内在指定媒体上公告成交结果。</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2、成交公告期限为1个工作日，期限结束后向成交人发出《成交通知书》。</w:t>
      </w:r>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zh-CN" w:eastAsia="zh-CN"/>
        </w:rPr>
      </w:pPr>
      <w:r>
        <w:rPr>
          <w:rFonts w:hint="eastAsia" w:ascii="仿宋" w:hAnsi="仿宋" w:eastAsia="仿宋" w:cs="仿宋"/>
          <w:sz w:val="24"/>
          <w:lang w:val="zh-CN" w:eastAsia="zh-CN"/>
        </w:rPr>
        <w:t xml:space="preserve">3、《成交通知书》一经发出，即具有法律效力。采购人、成交人依法承担法律责任。 </w:t>
      </w:r>
    </w:p>
    <w:p>
      <w:pPr>
        <w:keepNext w:val="0"/>
        <w:keepLines w:val="0"/>
        <w:pageBreakBefore w:val="0"/>
        <w:widowControl/>
        <w:kinsoku/>
        <w:wordWrap/>
        <w:overflowPunct/>
        <w:topLinePunct w:val="0"/>
        <w:bidi w:val="0"/>
        <w:spacing w:line="460" w:lineRule="exact"/>
        <w:ind w:firstLine="482" w:firstLineChars="200"/>
        <w:textAlignment w:val="auto"/>
        <w:rPr>
          <w:rFonts w:hint="eastAsia" w:ascii="仿宋" w:hAnsi="仿宋" w:eastAsia="仿宋" w:cs="仿宋"/>
          <w:b/>
          <w:bCs/>
          <w:sz w:val="24"/>
          <w:lang w:val="zh-CN" w:eastAsia="zh-CN"/>
        </w:rPr>
      </w:pPr>
      <w:r>
        <w:rPr>
          <w:rFonts w:hint="eastAsia" w:ascii="仿宋" w:hAnsi="仿宋" w:eastAsia="仿宋" w:cs="仿宋"/>
          <w:b/>
          <w:bCs/>
          <w:sz w:val="24"/>
          <w:lang w:val="zh-CN" w:eastAsia="zh-CN"/>
        </w:rPr>
        <w:t>十五、询价响应文件格式</w:t>
      </w: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pStyle w:val="2"/>
        <w:rPr>
          <w:rFonts w:ascii="仿宋" w:hAnsi="仿宋" w:eastAsia="仿宋" w:cs="仿宋"/>
          <w:lang w:val="zh-CN" w:eastAsia="zh-CN"/>
        </w:rPr>
      </w:pPr>
    </w:p>
    <w:p>
      <w:pPr>
        <w:rPr>
          <w:rFonts w:ascii="仿宋" w:hAnsi="仿宋" w:eastAsia="仿宋" w:cs="仿宋"/>
          <w:b/>
          <w:bCs/>
          <w:sz w:val="24"/>
          <w:szCs w:val="24"/>
        </w:rPr>
      </w:pPr>
      <w:r>
        <w:rPr>
          <w:rFonts w:hint="eastAsia" w:ascii="仿宋" w:hAnsi="仿宋" w:eastAsia="仿宋" w:cs="仿宋"/>
          <w:b/>
          <w:sz w:val="24"/>
          <w:szCs w:val="24"/>
        </w:rPr>
        <w:t>（一）资格审查文件相关的格式文件及表格</w:t>
      </w:r>
    </w:p>
    <w:p>
      <w:pPr>
        <w:spacing w:line="420" w:lineRule="exact"/>
        <w:jc w:val="center"/>
        <w:outlineLvl w:val="4"/>
        <w:rPr>
          <w:rFonts w:ascii="仿宋" w:hAnsi="仿宋" w:eastAsia="仿宋" w:cs="仿宋"/>
          <w:b/>
          <w:bCs/>
          <w:sz w:val="24"/>
          <w:szCs w:val="24"/>
        </w:rPr>
      </w:pPr>
    </w:p>
    <w:p>
      <w:pPr>
        <w:spacing w:line="420" w:lineRule="exact"/>
        <w:jc w:val="center"/>
        <w:outlineLvl w:val="4"/>
        <w:rPr>
          <w:rFonts w:ascii="仿宋" w:hAnsi="仿宋" w:eastAsia="仿宋" w:cs="仿宋"/>
          <w:b/>
          <w:bCs/>
          <w:sz w:val="24"/>
          <w:szCs w:val="24"/>
        </w:rPr>
      </w:pPr>
    </w:p>
    <w:p>
      <w:pPr>
        <w:spacing w:line="420" w:lineRule="exact"/>
        <w:jc w:val="center"/>
        <w:outlineLvl w:val="4"/>
        <w:rPr>
          <w:rFonts w:ascii="仿宋" w:hAnsi="仿宋" w:eastAsia="仿宋" w:cs="仿宋"/>
          <w:b/>
          <w:bCs/>
          <w:sz w:val="24"/>
          <w:szCs w:val="24"/>
        </w:rPr>
      </w:pPr>
      <w:r>
        <w:rPr>
          <w:rFonts w:hint="eastAsia" w:ascii="仿宋" w:hAnsi="仿宋" w:eastAsia="仿宋" w:cs="仿宋"/>
          <w:b/>
          <w:bCs/>
          <w:sz w:val="24"/>
          <w:szCs w:val="24"/>
        </w:rPr>
        <w:t>1.法定代表人身份证明</w:t>
      </w:r>
    </w:p>
    <w:p>
      <w:pPr>
        <w:spacing w:line="420" w:lineRule="exact"/>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p>
    <w:p>
      <w:pPr>
        <w:spacing w:line="420" w:lineRule="exact"/>
        <w:jc w:val="center"/>
        <w:rPr>
          <w:rFonts w:ascii="仿宋" w:hAnsi="仿宋" w:eastAsia="仿宋" w:cs="仿宋"/>
          <w:sz w:val="24"/>
          <w:szCs w:val="24"/>
        </w:rPr>
      </w:pPr>
      <w:r>
        <w:rPr>
          <w:rFonts w:hint="eastAsia" w:ascii="仿宋" w:hAnsi="仿宋" w:eastAsia="仿宋" w:cs="仿宋"/>
          <w:sz w:val="24"/>
          <w:szCs w:val="24"/>
          <w:u w:val="single"/>
        </w:rPr>
        <w:t xml:space="preserve">          先生／女士：</w:t>
      </w:r>
      <w:r>
        <w:rPr>
          <w:rFonts w:hint="eastAsia" w:ascii="仿宋" w:hAnsi="仿宋" w:eastAsia="仿宋" w:cs="仿宋"/>
          <w:sz w:val="24"/>
          <w:szCs w:val="24"/>
        </w:rPr>
        <w:t>现任我单位</w:t>
      </w:r>
      <w:r>
        <w:rPr>
          <w:rFonts w:hint="eastAsia" w:ascii="仿宋" w:hAnsi="仿宋" w:eastAsia="仿宋" w:cs="仿宋"/>
          <w:sz w:val="24"/>
          <w:szCs w:val="24"/>
          <w:u w:val="single"/>
        </w:rPr>
        <w:t>　　　　　　　</w:t>
      </w:r>
      <w:r>
        <w:rPr>
          <w:rFonts w:hint="eastAsia" w:ascii="仿宋" w:hAnsi="仿宋" w:eastAsia="仿宋" w:cs="仿宋"/>
          <w:sz w:val="24"/>
          <w:szCs w:val="24"/>
        </w:rPr>
        <w:t>职务，为法定代表人，特此证明。</w:t>
      </w:r>
    </w:p>
    <w:p>
      <w:pPr>
        <w:spacing w:line="420" w:lineRule="exact"/>
        <w:rPr>
          <w:rFonts w:ascii="仿宋" w:hAnsi="仿宋" w:eastAsia="仿宋" w:cs="仿宋"/>
          <w:sz w:val="24"/>
          <w:szCs w:val="24"/>
          <w:u w:val="single"/>
        </w:rPr>
      </w:pPr>
      <w:r>
        <w:rPr>
          <w:rFonts w:hint="eastAsia" w:ascii="仿宋" w:hAnsi="仿宋" w:eastAsia="仿宋" w:cs="仿宋"/>
          <w:sz w:val="24"/>
          <w:szCs w:val="24"/>
        </w:rPr>
        <w:t>身份证号码：</w:t>
      </w:r>
      <w:r>
        <w:rPr>
          <w:rFonts w:hint="eastAsia" w:ascii="仿宋" w:hAnsi="仿宋" w:eastAsia="仿宋" w:cs="仿宋"/>
          <w:sz w:val="24"/>
          <w:szCs w:val="24"/>
          <w:u w:val="single"/>
        </w:rPr>
        <w:t xml:space="preserve">                                               </w:t>
      </w:r>
    </w:p>
    <w:p>
      <w:pPr>
        <w:spacing w:line="420" w:lineRule="exact"/>
        <w:ind w:firstLine="484" w:firstLineChars="202"/>
        <w:jc w:val="right"/>
        <w:rPr>
          <w:rFonts w:ascii="仿宋" w:hAnsi="仿宋" w:eastAsia="仿宋" w:cs="仿宋"/>
          <w:sz w:val="24"/>
          <w:szCs w:val="24"/>
        </w:rPr>
      </w:pPr>
      <w:r>
        <w:rPr>
          <w:rFonts w:hint="eastAsia" w:ascii="仿宋" w:hAnsi="仿宋" w:eastAsia="仿宋" w:cs="仿宋"/>
          <w:sz w:val="24"/>
          <w:szCs w:val="24"/>
        </w:rPr>
        <w:t>谈判供应商（盖章）</w:t>
      </w:r>
    </w:p>
    <w:p>
      <w:pPr>
        <w:spacing w:line="420" w:lineRule="exact"/>
        <w:ind w:firstLine="484" w:firstLineChars="202"/>
        <w:jc w:val="right"/>
        <w:rPr>
          <w:rFonts w:ascii="仿宋" w:hAnsi="仿宋" w:eastAsia="仿宋" w:cs="仿宋"/>
          <w:bCs/>
          <w:sz w:val="24"/>
          <w:szCs w:val="24"/>
        </w:rPr>
      </w:pPr>
      <w:r>
        <w:rPr>
          <w:rFonts w:hint="eastAsia" w:ascii="仿宋" w:hAnsi="仿宋" w:eastAsia="仿宋" w:cs="仿宋"/>
          <w:bCs/>
          <w:sz w:val="24"/>
          <w:szCs w:val="24"/>
        </w:rPr>
        <w:t>年    月    日</w:t>
      </w:r>
    </w:p>
    <w:p>
      <w:pPr>
        <w:spacing w:line="420" w:lineRule="exact"/>
        <w:jc w:val="center"/>
        <w:rPr>
          <w:rFonts w:ascii="仿宋" w:hAnsi="仿宋" w:eastAsia="仿宋" w:cs="仿宋"/>
          <w:sz w:val="24"/>
          <w:szCs w:val="24"/>
        </w:rPr>
      </w:pPr>
    </w:p>
    <w:p>
      <w:pPr>
        <w:spacing w:line="420" w:lineRule="exact"/>
        <w:jc w:val="center"/>
        <w:rPr>
          <w:rFonts w:ascii="仿宋" w:hAnsi="仿宋" w:eastAsia="仿宋" w:cs="仿宋"/>
          <w:sz w:val="24"/>
          <w:szCs w:val="24"/>
        </w:rPr>
      </w:pPr>
      <w:r>
        <w:rPr>
          <w:rFonts w:hint="eastAsia" w:ascii="仿宋" w:hAnsi="仿宋" w:eastAsia="仿宋" w:cs="仿宋"/>
          <w:sz w:val="24"/>
          <w:szCs w:val="24"/>
        </w:rPr>
        <w:t>注：提供法定代表人的身份证复印件并加盖公章</w:t>
      </w:r>
    </w:p>
    <w:p>
      <w:pPr>
        <w:spacing w:line="420" w:lineRule="exact"/>
        <w:jc w:val="center"/>
        <w:outlineLvl w:val="4"/>
        <w:rPr>
          <w:rFonts w:ascii="仿宋" w:hAnsi="仿宋" w:eastAsia="仿宋" w:cs="仿宋"/>
          <w:b/>
          <w:bCs/>
          <w:sz w:val="24"/>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p>
    <w:p>
      <w:pPr>
        <w:pStyle w:val="9"/>
        <w:rPr>
          <w:rFonts w:ascii="仿宋" w:hAnsi="仿宋" w:eastAsia="仿宋" w:cs="仿宋"/>
          <w:b/>
          <w:bCs/>
          <w:szCs w:val="24"/>
        </w:rPr>
      </w:pPr>
      <w:bookmarkStart w:id="1" w:name="_GoBack"/>
      <w:bookmarkEnd w:id="1"/>
    </w:p>
    <w:p>
      <w:pPr>
        <w:spacing w:line="420" w:lineRule="exact"/>
        <w:jc w:val="center"/>
        <w:outlineLvl w:val="4"/>
        <w:rPr>
          <w:rFonts w:ascii="仿宋" w:hAnsi="仿宋" w:eastAsia="仿宋" w:cs="仿宋"/>
          <w:b/>
          <w:bCs/>
          <w:sz w:val="24"/>
          <w:szCs w:val="24"/>
        </w:rPr>
      </w:pPr>
      <w:r>
        <w:rPr>
          <w:rFonts w:hint="eastAsia" w:ascii="仿宋" w:hAnsi="仿宋" w:eastAsia="仿宋" w:cs="仿宋"/>
          <w:b/>
          <w:bCs/>
          <w:sz w:val="24"/>
          <w:szCs w:val="24"/>
        </w:rPr>
        <w:t>2.法定代表人授权委托书</w:t>
      </w:r>
    </w:p>
    <w:p>
      <w:pPr>
        <w:spacing w:line="420" w:lineRule="exact"/>
        <w:rPr>
          <w:rFonts w:ascii="仿宋" w:hAnsi="仿宋" w:eastAsia="仿宋" w:cs="仿宋"/>
          <w:bCs/>
          <w:sz w:val="24"/>
          <w:szCs w:val="24"/>
        </w:rPr>
      </w:pP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p>
    <w:p>
      <w:pPr>
        <w:spacing w:line="420" w:lineRule="exact"/>
        <w:ind w:firstLine="484" w:firstLineChars="202"/>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　　   　</w:t>
      </w:r>
      <w:r>
        <w:rPr>
          <w:rFonts w:hint="eastAsia" w:ascii="仿宋" w:hAnsi="仿宋" w:eastAsia="仿宋" w:cs="仿宋"/>
          <w:sz w:val="24"/>
          <w:szCs w:val="24"/>
        </w:rPr>
        <w:t>（姓名）系</w:t>
      </w:r>
      <w:r>
        <w:rPr>
          <w:rFonts w:hint="eastAsia" w:ascii="仿宋" w:hAnsi="仿宋" w:eastAsia="仿宋" w:cs="仿宋"/>
          <w:sz w:val="24"/>
          <w:szCs w:val="24"/>
          <w:u w:val="single"/>
        </w:rPr>
        <w:t>　　  　</w:t>
      </w:r>
      <w:r>
        <w:rPr>
          <w:rFonts w:hint="eastAsia" w:ascii="仿宋" w:hAnsi="仿宋" w:eastAsia="仿宋" w:cs="仿宋"/>
          <w:sz w:val="24"/>
          <w:szCs w:val="24"/>
        </w:rPr>
        <w:t>（供应商名称）的法定代表人，现授权委托　　   （姓名）为我公司代理人，以本公司的名义参加本项目的询价响应活动。代理人在开标、评标、合同谈判过程中所签署的一切文件和处理与之有关的一切事务，我均予以承认。</w:t>
      </w:r>
    </w:p>
    <w:p>
      <w:pPr>
        <w:spacing w:line="420" w:lineRule="exact"/>
        <w:ind w:firstLine="484" w:firstLineChars="202"/>
        <w:rPr>
          <w:rFonts w:ascii="仿宋" w:hAnsi="仿宋" w:eastAsia="仿宋" w:cs="仿宋"/>
          <w:sz w:val="24"/>
          <w:szCs w:val="24"/>
        </w:rPr>
      </w:pPr>
      <w:r>
        <w:rPr>
          <w:rFonts w:hint="eastAsia" w:ascii="仿宋" w:hAnsi="仿宋" w:eastAsia="仿宋" w:cs="仿宋"/>
          <w:sz w:val="24"/>
          <w:szCs w:val="24"/>
        </w:rPr>
        <w:t>被委托授权人无转委权。特此委托。</w:t>
      </w:r>
    </w:p>
    <w:p>
      <w:pPr>
        <w:spacing w:line="420" w:lineRule="exact"/>
        <w:ind w:firstLine="972" w:firstLineChars="405"/>
        <w:rPr>
          <w:rFonts w:ascii="仿宋" w:hAnsi="仿宋" w:eastAsia="仿宋" w:cs="仿宋"/>
          <w:sz w:val="24"/>
          <w:szCs w:val="24"/>
        </w:rPr>
      </w:pPr>
    </w:p>
    <w:p>
      <w:pPr>
        <w:spacing w:line="420" w:lineRule="exact"/>
        <w:ind w:firstLine="972" w:firstLineChars="405"/>
        <w:rPr>
          <w:rFonts w:ascii="仿宋" w:hAnsi="仿宋" w:eastAsia="仿宋" w:cs="仿宋"/>
          <w:sz w:val="24"/>
          <w:szCs w:val="24"/>
        </w:rPr>
      </w:pPr>
      <w:r>
        <w:rPr>
          <w:rFonts w:hint="eastAsia" w:ascii="仿宋" w:hAnsi="仿宋" w:eastAsia="仿宋" w:cs="仿宋"/>
          <w:sz w:val="24"/>
          <w:szCs w:val="24"/>
        </w:rPr>
        <w:t>被委托授权人身份证号：</w:t>
      </w:r>
    </w:p>
    <w:p>
      <w:pPr>
        <w:spacing w:line="420" w:lineRule="exact"/>
        <w:ind w:firstLine="972" w:firstLineChars="405"/>
        <w:rPr>
          <w:rFonts w:ascii="仿宋" w:hAnsi="仿宋" w:eastAsia="仿宋" w:cs="仿宋"/>
          <w:sz w:val="24"/>
          <w:szCs w:val="24"/>
        </w:rPr>
      </w:pPr>
      <w:r>
        <w:rPr>
          <w:rFonts w:hint="eastAsia" w:ascii="仿宋" w:hAnsi="仿宋" w:eastAsia="仿宋" w:cs="仿宋"/>
          <w:sz w:val="24"/>
          <w:szCs w:val="24"/>
        </w:rPr>
        <w:t>法定代表人签字：</w:t>
      </w:r>
    </w:p>
    <w:p>
      <w:pPr>
        <w:spacing w:line="420" w:lineRule="exact"/>
        <w:ind w:firstLine="972" w:firstLineChars="405"/>
        <w:rPr>
          <w:rFonts w:ascii="仿宋" w:hAnsi="仿宋" w:eastAsia="仿宋" w:cs="仿宋"/>
          <w:sz w:val="24"/>
          <w:szCs w:val="24"/>
        </w:rPr>
      </w:pPr>
      <w:r>
        <w:rPr>
          <w:rFonts w:hint="eastAsia" w:ascii="仿宋" w:hAnsi="仿宋" w:eastAsia="仿宋" w:cs="仿宋"/>
          <w:sz w:val="24"/>
          <w:szCs w:val="24"/>
        </w:rPr>
        <w:t>被委托授权人签字：</w:t>
      </w:r>
    </w:p>
    <w:p>
      <w:pPr>
        <w:spacing w:line="420" w:lineRule="exact"/>
        <w:ind w:firstLine="972" w:firstLineChars="405"/>
        <w:rPr>
          <w:rFonts w:ascii="仿宋" w:hAnsi="仿宋" w:eastAsia="仿宋" w:cs="仿宋"/>
          <w:sz w:val="24"/>
          <w:szCs w:val="24"/>
        </w:rPr>
      </w:pPr>
    </w:p>
    <w:p>
      <w:pPr>
        <w:spacing w:line="420" w:lineRule="exact"/>
        <w:ind w:firstLine="484" w:firstLineChars="202"/>
        <w:jc w:val="right"/>
        <w:rPr>
          <w:rFonts w:ascii="仿宋" w:hAnsi="仿宋" w:eastAsia="仿宋" w:cs="仿宋"/>
          <w:sz w:val="24"/>
          <w:szCs w:val="24"/>
        </w:rPr>
      </w:pPr>
      <w:r>
        <w:rPr>
          <w:rFonts w:hint="eastAsia" w:ascii="仿宋" w:hAnsi="仿宋" w:eastAsia="仿宋" w:cs="仿宋"/>
          <w:sz w:val="24"/>
          <w:szCs w:val="24"/>
        </w:rPr>
        <w:t>谈判供应商（盖章）</w:t>
      </w:r>
    </w:p>
    <w:p>
      <w:pPr>
        <w:spacing w:line="420" w:lineRule="exact"/>
        <w:ind w:firstLine="484" w:firstLineChars="202"/>
        <w:jc w:val="right"/>
        <w:rPr>
          <w:rFonts w:ascii="仿宋" w:hAnsi="仿宋" w:eastAsia="仿宋" w:cs="仿宋"/>
          <w:bCs/>
          <w:sz w:val="24"/>
          <w:szCs w:val="24"/>
        </w:rPr>
      </w:pPr>
      <w:r>
        <w:rPr>
          <w:rFonts w:hint="eastAsia" w:ascii="仿宋" w:hAnsi="仿宋" w:eastAsia="仿宋" w:cs="仿宋"/>
          <w:bCs/>
          <w:sz w:val="24"/>
          <w:szCs w:val="24"/>
        </w:rPr>
        <w:t>年    月    日</w:t>
      </w:r>
    </w:p>
    <w:p>
      <w:pPr>
        <w:spacing w:line="420" w:lineRule="exact"/>
        <w:ind w:firstLine="321" w:firstLineChars="134"/>
        <w:jc w:val="center"/>
        <w:rPr>
          <w:rFonts w:ascii="仿宋" w:hAnsi="仿宋" w:eastAsia="仿宋" w:cs="仿宋"/>
          <w:sz w:val="24"/>
          <w:szCs w:val="24"/>
        </w:rPr>
      </w:pPr>
      <w:r>
        <w:rPr>
          <w:rFonts w:hint="eastAsia" w:ascii="仿宋" w:hAnsi="仿宋" w:eastAsia="仿宋" w:cs="仿宋"/>
          <w:sz w:val="24"/>
          <w:szCs w:val="24"/>
        </w:rPr>
        <w:t>注：提供被委托授权人的身份证复印件盖公章，将身份证原件带至开标现场备查</w:t>
      </w:r>
    </w:p>
    <w:p>
      <w:pPr>
        <w:spacing w:line="420" w:lineRule="exact"/>
        <w:rPr>
          <w:rFonts w:ascii="仿宋" w:hAnsi="仿宋" w:eastAsia="仿宋" w:cs="仿宋"/>
          <w:sz w:val="24"/>
          <w:szCs w:val="24"/>
        </w:rPr>
      </w:pPr>
    </w:p>
    <w:p>
      <w:pPr>
        <w:tabs>
          <w:tab w:val="left" w:pos="3585"/>
        </w:tabs>
        <w:spacing w:line="500" w:lineRule="exact"/>
        <w:jc w:val="center"/>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pStyle w:val="9"/>
        <w:rPr>
          <w:rFonts w:ascii="仿宋" w:hAnsi="仿宋" w:eastAsia="仿宋" w:cs="仿宋"/>
          <w:b/>
          <w:sz w:val="36"/>
          <w:szCs w:val="36"/>
        </w:rPr>
      </w:pPr>
    </w:p>
    <w:p>
      <w:pPr>
        <w:spacing w:line="420" w:lineRule="exact"/>
        <w:jc w:val="center"/>
        <w:outlineLvl w:val="4"/>
        <w:rPr>
          <w:rFonts w:ascii="仿宋" w:hAnsi="仿宋" w:eastAsia="仿宋" w:cs="仿宋"/>
          <w:sz w:val="24"/>
        </w:rPr>
      </w:pPr>
      <w:r>
        <w:rPr>
          <w:rFonts w:hint="eastAsia" w:ascii="仿宋" w:hAnsi="仿宋" w:eastAsia="仿宋" w:cs="仿宋"/>
          <w:b/>
          <w:bCs/>
          <w:sz w:val="24"/>
          <w:szCs w:val="24"/>
        </w:rPr>
        <w:t>3.符合政府采购法二十二条的书面声明</w:t>
      </w:r>
    </w:p>
    <w:p>
      <w:pPr>
        <w:kinsoku w:val="0"/>
        <w:topLinePunct/>
        <w:autoSpaceDE w:val="0"/>
        <w:autoSpaceDN w:val="0"/>
        <w:spacing w:line="500" w:lineRule="atLeast"/>
        <w:ind w:right="210"/>
        <w:textAlignment w:val="baseline"/>
        <w:rPr>
          <w:rFonts w:ascii="仿宋" w:hAnsi="仿宋" w:eastAsia="仿宋" w:cs="仿宋"/>
          <w:sz w:val="24"/>
          <w:szCs w:val="24"/>
        </w:rPr>
      </w:pPr>
      <w:r>
        <w:rPr>
          <w:rFonts w:hint="eastAsia" w:ascii="仿宋" w:hAnsi="仿宋" w:eastAsia="仿宋" w:cs="仿宋"/>
          <w:sz w:val="24"/>
          <w:szCs w:val="24"/>
          <w:lang w:eastAsia="zh-CN"/>
        </w:rPr>
        <w:t>江苏省南通田家炳中学</w:t>
      </w:r>
      <w:r>
        <w:rPr>
          <w:rFonts w:hint="eastAsia" w:ascii="仿宋" w:hAnsi="仿宋" w:eastAsia="仿宋" w:cs="仿宋"/>
          <w:sz w:val="24"/>
          <w:szCs w:val="24"/>
        </w:rPr>
        <w:t>：</w:t>
      </w: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r>
        <w:rPr>
          <w:rFonts w:hint="eastAsia" w:ascii="仿宋" w:hAnsi="仿宋" w:eastAsia="仿宋" w:cs="仿宋"/>
          <w:sz w:val="24"/>
          <w:szCs w:val="24"/>
        </w:rPr>
        <w:t>我单位</w:t>
      </w:r>
      <w:r>
        <w:rPr>
          <w:rFonts w:hint="eastAsia" w:ascii="仿宋" w:hAnsi="仿宋" w:eastAsia="仿宋" w:cs="仿宋"/>
          <w:sz w:val="24"/>
          <w:szCs w:val="24"/>
          <w:u w:val="single"/>
        </w:rPr>
        <w:t xml:space="preserve">           （供应商名称）</w:t>
      </w:r>
      <w:r>
        <w:rPr>
          <w:rFonts w:hint="eastAsia" w:ascii="仿宋" w:hAnsi="仿宋" w:eastAsia="仿宋" w:cs="仿宋"/>
          <w:sz w:val="24"/>
          <w:szCs w:val="24"/>
        </w:rPr>
        <w:t>郑重承诺：</w:t>
      </w: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r>
        <w:rPr>
          <w:rFonts w:hint="eastAsia" w:ascii="仿宋" w:hAnsi="仿宋" w:eastAsia="仿宋" w:cs="仿宋"/>
          <w:sz w:val="24"/>
          <w:szCs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r>
        <w:rPr>
          <w:rFonts w:hint="eastAsia" w:ascii="仿宋" w:hAnsi="仿宋" w:eastAsia="仿宋" w:cs="仿宋"/>
          <w:sz w:val="24"/>
          <w:szCs w:val="24"/>
        </w:rPr>
        <w:t xml:space="preserve">供应商（盖章）：（单位全称） </w:t>
      </w: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r>
        <w:rPr>
          <w:rFonts w:hint="eastAsia" w:ascii="仿宋" w:hAnsi="仿宋" w:eastAsia="仿宋" w:cs="仿宋"/>
          <w:sz w:val="24"/>
          <w:szCs w:val="24"/>
        </w:rPr>
        <w:t>法定代表人或授权委托人：（签字或盖章）</w:t>
      </w:r>
    </w:p>
    <w:p>
      <w:pPr>
        <w:kinsoku w:val="0"/>
        <w:topLinePunct/>
        <w:autoSpaceDE w:val="0"/>
        <w:autoSpaceDN w:val="0"/>
        <w:spacing w:line="500" w:lineRule="atLeast"/>
        <w:ind w:right="210" w:firstLine="448" w:firstLineChars="187"/>
        <w:textAlignment w:val="baseline"/>
        <w:rPr>
          <w:rFonts w:ascii="仿宋" w:hAnsi="仿宋" w:eastAsia="仿宋" w:cs="仿宋"/>
          <w:sz w:val="24"/>
          <w:szCs w:val="24"/>
        </w:rPr>
      </w:pPr>
      <w:r>
        <w:rPr>
          <w:rFonts w:hint="eastAsia" w:ascii="仿宋" w:hAnsi="仿宋" w:eastAsia="仿宋" w:cs="仿宋"/>
          <w:sz w:val="24"/>
          <w:szCs w:val="24"/>
        </w:rPr>
        <w:t>日期：  年  月  日</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rPr>
      </w:pPr>
    </w:p>
    <w:p>
      <w:pPr>
        <w:pStyle w:val="2"/>
        <w:rPr>
          <w:rFonts w:ascii="仿宋" w:hAnsi="仿宋" w:eastAsia="仿宋" w:cs="仿宋"/>
          <w:sz w:val="24"/>
          <w:lang w:eastAsia="zh-CN"/>
        </w:rPr>
      </w:pPr>
    </w:p>
    <w:p>
      <w:pPr>
        <w:numPr>
          <w:ilvl w:val="0"/>
          <w:numId w:val="1"/>
        </w:numPr>
        <w:overflowPunct w:val="0"/>
        <w:spacing w:line="360" w:lineRule="auto"/>
        <w:textAlignment w:val="baseline"/>
        <w:rPr>
          <w:rFonts w:ascii="仿宋" w:hAnsi="仿宋" w:eastAsia="仿宋" w:cs="仿宋"/>
          <w:b/>
          <w:sz w:val="24"/>
          <w:szCs w:val="24"/>
        </w:rPr>
      </w:pPr>
      <w:r>
        <w:rPr>
          <w:rFonts w:hint="eastAsia" w:ascii="仿宋" w:hAnsi="仿宋" w:eastAsia="仿宋" w:cs="仿宋"/>
          <w:b/>
          <w:sz w:val="32"/>
          <w:szCs w:val="32"/>
        </w:rPr>
        <w:tab/>
      </w:r>
      <w:r>
        <w:rPr>
          <w:rFonts w:hint="eastAsia" w:ascii="仿宋" w:hAnsi="仿宋" w:eastAsia="仿宋" w:cs="仿宋"/>
          <w:b/>
          <w:sz w:val="24"/>
          <w:szCs w:val="24"/>
        </w:rPr>
        <w:t>商务报价响应文件相关的格式文件及表格</w:t>
      </w:r>
    </w:p>
    <w:p>
      <w:pPr>
        <w:spacing w:line="360" w:lineRule="auto"/>
        <w:jc w:val="center"/>
        <w:rPr>
          <w:rFonts w:ascii="仿宋" w:hAnsi="仿宋" w:eastAsia="仿宋" w:cs="仿宋"/>
          <w:sz w:val="28"/>
          <w:szCs w:val="28"/>
        </w:rPr>
      </w:pPr>
      <w:r>
        <w:rPr>
          <w:rFonts w:hint="eastAsia" w:ascii="仿宋" w:hAnsi="仿宋" w:eastAsia="仿宋" w:cs="仿宋"/>
          <w:sz w:val="28"/>
          <w:szCs w:val="28"/>
        </w:rPr>
        <w:t>1、开标一览表</w:t>
      </w:r>
    </w:p>
    <w:p>
      <w:pPr>
        <w:rPr>
          <w:rFonts w:ascii="仿宋" w:hAnsi="仿宋" w:eastAsia="仿宋" w:cs="仿宋"/>
          <w:sz w:val="24"/>
          <w:szCs w:val="24"/>
        </w:rPr>
      </w:pPr>
      <w:r>
        <w:rPr>
          <w:rFonts w:hint="eastAsia" w:ascii="仿宋" w:hAnsi="仿宋" w:eastAsia="仿宋" w:cs="仿宋"/>
          <w:sz w:val="24"/>
          <w:szCs w:val="24"/>
        </w:rPr>
        <w:t>投标人全称（加盖公章）：</w:t>
      </w:r>
    </w:p>
    <w:p>
      <w:pPr>
        <w:rPr>
          <w:rFonts w:ascii="仿宋" w:hAnsi="仿宋" w:eastAsia="仿宋" w:cs="仿宋"/>
          <w:sz w:val="24"/>
          <w:szCs w:val="24"/>
        </w:rPr>
      </w:pPr>
      <w:r>
        <w:rPr>
          <w:rFonts w:hint="eastAsia" w:ascii="仿宋" w:hAnsi="仿宋" w:eastAsia="仿宋" w:cs="仿宋"/>
          <w:sz w:val="24"/>
          <w:szCs w:val="24"/>
        </w:rPr>
        <w:t>项目名称：</w:t>
      </w:r>
    </w:p>
    <w:p>
      <w:pPr>
        <w:rPr>
          <w:rFonts w:ascii="仿宋" w:hAnsi="仿宋" w:eastAsia="仿宋" w:cs="仿宋"/>
          <w:sz w:val="24"/>
          <w:szCs w:val="24"/>
        </w:rPr>
      </w:pPr>
      <w:r>
        <w:rPr>
          <w:rFonts w:hint="eastAsia" w:ascii="仿宋" w:hAnsi="仿宋" w:eastAsia="仿宋" w:cs="仿宋"/>
          <w:sz w:val="24"/>
          <w:szCs w:val="24"/>
        </w:rPr>
        <w:t xml:space="preserve">项目编号：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9"/>
        <w:gridCol w:w="6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trPr>
        <w:tc>
          <w:tcPr>
            <w:tcW w:w="2379" w:type="dxa"/>
            <w:vAlign w:val="center"/>
          </w:tcPr>
          <w:p>
            <w:pPr>
              <w:pStyle w:val="3"/>
              <w:spacing w:after="0" w:line="240" w:lineRule="auto"/>
              <w:jc w:val="center"/>
              <w:rPr>
                <w:rFonts w:ascii="仿宋" w:hAnsi="仿宋" w:eastAsia="仿宋" w:cs="仿宋"/>
                <w:sz w:val="24"/>
                <w:szCs w:val="24"/>
              </w:rPr>
            </w:pPr>
            <w:r>
              <w:rPr>
                <w:rFonts w:hint="eastAsia" w:ascii="仿宋" w:hAnsi="仿宋" w:eastAsia="仿宋" w:cs="仿宋"/>
                <w:sz w:val="24"/>
                <w:szCs w:val="24"/>
              </w:rPr>
              <w:t>投标服务名称</w:t>
            </w:r>
          </w:p>
        </w:tc>
        <w:tc>
          <w:tcPr>
            <w:tcW w:w="6143" w:type="dxa"/>
            <w:vAlign w:val="center"/>
          </w:tcPr>
          <w:p>
            <w:pPr>
              <w:spacing w:after="0"/>
              <w:jc w:val="center"/>
              <w:rPr>
                <w:rFonts w:ascii="仿宋" w:hAnsi="仿宋" w:eastAsia="仿宋" w:cs="仿宋"/>
                <w:sz w:val="24"/>
                <w:szCs w:val="24"/>
              </w:rPr>
            </w:pPr>
            <w:r>
              <w:rPr>
                <w:rFonts w:hint="eastAsia" w:ascii="仿宋" w:hAnsi="仿宋" w:eastAsia="仿宋" w:cs="仿宋"/>
                <w:sz w:val="24"/>
                <w:szCs w:val="24"/>
              </w:rPr>
              <w:t>投标总报价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trPr>
        <w:tc>
          <w:tcPr>
            <w:tcW w:w="2379" w:type="dxa"/>
            <w:vAlign w:val="center"/>
          </w:tcPr>
          <w:p>
            <w:pPr>
              <w:pStyle w:val="3"/>
              <w:spacing w:after="0" w:line="240" w:lineRule="auto"/>
              <w:rPr>
                <w:rFonts w:hint="default" w:ascii="仿宋" w:hAnsi="仿宋" w:eastAsia="仿宋" w:cs="仿宋"/>
                <w:sz w:val="24"/>
                <w:szCs w:val="24"/>
                <w:lang w:val="en-US"/>
              </w:rPr>
            </w:pPr>
            <w:r>
              <w:rPr>
                <w:rFonts w:hint="eastAsia" w:ascii="仿宋" w:hAnsi="仿宋" w:eastAsia="仿宋" w:cs="仿宋"/>
                <w:sz w:val="24"/>
                <w:szCs w:val="24"/>
                <w:lang w:val="en-US" w:eastAsia="zh-CN"/>
              </w:rPr>
              <w:t xml:space="preserve">     </w:t>
            </w:r>
          </w:p>
        </w:tc>
        <w:tc>
          <w:tcPr>
            <w:tcW w:w="6143" w:type="dxa"/>
            <w:vAlign w:val="center"/>
          </w:tcPr>
          <w:p>
            <w:pPr>
              <w:pStyle w:val="3"/>
              <w:spacing w:after="0" w:line="240" w:lineRule="auto"/>
              <w:rPr>
                <w:rFonts w:ascii="仿宋" w:hAnsi="仿宋" w:eastAsia="仿宋" w:cs="仿宋"/>
                <w:sz w:val="24"/>
                <w:szCs w:val="24"/>
              </w:rPr>
            </w:pPr>
            <w:r>
              <w:rPr>
                <w:rFonts w:hint="eastAsia" w:ascii="仿宋" w:hAnsi="仿宋" w:eastAsia="仿宋" w:cs="仿宋"/>
                <w:sz w:val="24"/>
                <w:szCs w:val="24"/>
              </w:rPr>
              <w:t xml:space="preserve">大写：   </w:t>
            </w:r>
          </w:p>
          <w:p>
            <w:pPr>
              <w:pStyle w:val="10"/>
              <w:spacing w:before="0" w:after="0" w:line="240" w:lineRule="auto"/>
              <w:ind w:firstLine="0"/>
              <w:textAlignment w:val="auto"/>
              <w:rPr>
                <w:rFonts w:ascii="仿宋" w:hAnsi="仿宋" w:eastAsia="仿宋" w:cs="仿宋"/>
                <w:kern w:val="2"/>
              </w:rPr>
            </w:pPr>
            <w:r>
              <w:rPr>
                <w:rFonts w:hint="eastAsia" w:ascii="仿宋" w:hAnsi="仿宋" w:eastAsia="仿宋" w:cs="仿宋"/>
              </w:rPr>
              <w:t>小写：    （人民币）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379" w:type="dxa"/>
            <w:vAlign w:val="center"/>
          </w:tcPr>
          <w:p>
            <w:pPr>
              <w:pStyle w:val="3"/>
              <w:spacing w:after="0" w:line="240" w:lineRule="auto"/>
              <w:jc w:val="center"/>
              <w:rPr>
                <w:rFonts w:ascii="仿宋" w:hAnsi="仿宋" w:eastAsia="仿宋" w:cs="仿宋"/>
                <w:sz w:val="24"/>
                <w:szCs w:val="24"/>
              </w:rPr>
            </w:pPr>
            <w:r>
              <w:rPr>
                <w:rFonts w:hint="eastAsia" w:ascii="仿宋" w:hAnsi="仿宋" w:eastAsia="仿宋" w:cs="仿宋"/>
                <w:sz w:val="24"/>
                <w:szCs w:val="24"/>
              </w:rPr>
              <w:t>服务期</w:t>
            </w:r>
          </w:p>
        </w:tc>
        <w:tc>
          <w:tcPr>
            <w:tcW w:w="6143" w:type="dxa"/>
            <w:vAlign w:val="center"/>
          </w:tcPr>
          <w:p>
            <w:pPr>
              <w:pStyle w:val="3"/>
              <w:spacing w:after="0" w:line="240" w:lineRule="auto"/>
              <w:rPr>
                <w:rFonts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年。</w:t>
            </w:r>
          </w:p>
        </w:tc>
      </w:tr>
    </w:tbl>
    <w:p>
      <w:pPr>
        <w:rPr>
          <w:rFonts w:ascii="仿宋" w:hAnsi="仿宋" w:eastAsia="仿宋" w:cs="仿宋"/>
          <w:sz w:val="24"/>
          <w:szCs w:val="24"/>
        </w:rPr>
      </w:pPr>
    </w:p>
    <w:p>
      <w:pPr>
        <w:ind w:firstLine="480"/>
        <w:rPr>
          <w:rFonts w:ascii="仿宋" w:hAnsi="仿宋" w:eastAsia="仿宋" w:cs="仿宋"/>
          <w:sz w:val="24"/>
          <w:szCs w:val="24"/>
        </w:rPr>
      </w:pPr>
      <w:r>
        <w:rPr>
          <w:rFonts w:hint="eastAsia" w:ascii="仿宋" w:hAnsi="仿宋" w:eastAsia="仿宋" w:cs="仿宋"/>
          <w:sz w:val="24"/>
          <w:szCs w:val="24"/>
        </w:rPr>
        <w:t>日期：  年 月 日</w:t>
      </w:r>
    </w:p>
    <w:p>
      <w:pPr>
        <w:ind w:firstLine="480"/>
        <w:rPr>
          <w:rFonts w:ascii="仿宋" w:hAnsi="仿宋" w:eastAsia="仿宋" w:cs="仿宋"/>
          <w:sz w:val="24"/>
          <w:szCs w:val="24"/>
        </w:rPr>
      </w:pPr>
      <w:r>
        <w:rPr>
          <w:rFonts w:hint="eastAsia" w:ascii="仿宋" w:hAnsi="仿宋" w:eastAsia="仿宋" w:cs="仿宋"/>
          <w:sz w:val="24"/>
          <w:szCs w:val="24"/>
        </w:rPr>
        <w:t>填写说明：</w:t>
      </w:r>
    </w:p>
    <w:p>
      <w:pPr>
        <w:spacing w:line="500" w:lineRule="exact"/>
        <w:ind w:firstLine="480" w:firstLineChars="200"/>
        <w:rPr>
          <w:rFonts w:ascii="仿宋" w:hAnsi="仿宋" w:eastAsia="仿宋" w:cs="仿宋"/>
          <w:bCs/>
          <w:iCs/>
          <w:sz w:val="24"/>
          <w:szCs w:val="24"/>
        </w:rPr>
      </w:pPr>
      <w:r>
        <w:rPr>
          <w:rFonts w:hint="eastAsia" w:ascii="仿宋" w:hAnsi="仿宋" w:eastAsia="仿宋" w:cs="仿宋"/>
          <w:sz w:val="24"/>
          <w:szCs w:val="24"/>
        </w:rPr>
        <w:t>1、</w:t>
      </w:r>
      <w:r>
        <w:rPr>
          <w:rFonts w:hint="eastAsia" w:ascii="仿宋" w:hAnsi="仿宋" w:eastAsia="仿宋" w:cs="仿宋"/>
          <w:bCs/>
          <w:iCs/>
          <w:sz w:val="24"/>
          <w:szCs w:val="24"/>
        </w:rPr>
        <w:t>开标一览表必须加盖投标单位公章（复印件无效）。</w:t>
      </w:r>
    </w:p>
    <w:p>
      <w:pPr>
        <w:kinsoku w:val="0"/>
        <w:topLinePunct/>
        <w:autoSpaceDE w:val="0"/>
        <w:autoSpaceDN w:val="0"/>
        <w:spacing w:line="500" w:lineRule="atLeast"/>
        <w:ind w:right="210" w:firstLine="480" w:firstLineChars="200"/>
        <w:textAlignment w:val="baseline"/>
        <w:rPr>
          <w:rFonts w:ascii="仿宋" w:hAnsi="仿宋" w:eastAsia="仿宋" w:cs="仿宋"/>
          <w:sz w:val="24"/>
        </w:rPr>
      </w:pPr>
      <w:r>
        <w:rPr>
          <w:rFonts w:hint="eastAsia" w:ascii="仿宋" w:hAnsi="仿宋" w:eastAsia="仿宋" w:cs="仿宋"/>
          <w:sz w:val="24"/>
        </w:rPr>
        <w:t>2、响应报价应包括询价文件所确定的</w:t>
      </w:r>
      <w:r>
        <w:rPr>
          <w:rFonts w:hint="eastAsia" w:ascii="仿宋" w:hAnsi="仿宋" w:eastAsia="仿宋" w:cs="仿宋"/>
          <w:sz w:val="24"/>
          <w:lang w:val="en-US" w:eastAsia="zh-CN"/>
        </w:rPr>
        <w:t>各种因素、风险及所需服务的全部费用。</w:t>
      </w:r>
    </w:p>
    <w:p>
      <w:pPr>
        <w:kinsoku w:val="0"/>
        <w:topLinePunct/>
        <w:autoSpaceDE w:val="0"/>
        <w:autoSpaceDN w:val="0"/>
        <w:spacing w:line="500" w:lineRule="atLeast"/>
        <w:ind w:right="210" w:firstLine="480" w:firstLineChars="200"/>
        <w:textAlignment w:val="baseline"/>
        <w:rPr>
          <w:rFonts w:ascii="仿宋" w:hAnsi="仿宋" w:eastAsia="仿宋" w:cs="仿宋"/>
          <w:sz w:val="24"/>
        </w:rPr>
      </w:pPr>
      <w:r>
        <w:rPr>
          <w:rFonts w:hint="eastAsia" w:ascii="仿宋" w:hAnsi="仿宋" w:eastAsia="仿宋" w:cs="仿宋"/>
          <w:sz w:val="24"/>
        </w:rPr>
        <w:t>3.有效评标价最低者成交。</w:t>
      </w: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Pr>
        <w:pStyle w:val="2"/>
        <w:rPr>
          <w:rFonts w:ascii="仿宋" w:hAnsi="仿宋" w:eastAsia="仿宋" w:cs="仿宋"/>
          <w:sz w:val="24"/>
          <w:lang w:eastAsia="zh-CN"/>
        </w:rPr>
      </w:pPr>
    </w:p>
    <w:p/>
    <w:p>
      <w:pPr>
        <w:keepNext w:val="0"/>
        <w:keepLines w:val="0"/>
        <w:pageBreakBefore w:val="0"/>
        <w:widowControl/>
        <w:kinsoku/>
        <w:wordWrap/>
        <w:overflowPunct/>
        <w:topLinePunct w:val="0"/>
        <w:bidi w:val="0"/>
        <w:spacing w:line="460" w:lineRule="exact"/>
        <w:ind w:firstLine="480" w:firstLineChars="200"/>
        <w:textAlignment w:val="auto"/>
        <w:rPr>
          <w:rFonts w:hint="eastAsia" w:ascii="仿宋" w:hAnsi="仿宋" w:eastAsia="仿宋" w:cs="仿宋"/>
          <w:sz w:val="24"/>
          <w:lang w:val="en-US" w:eastAsia="zh-CN"/>
        </w:rPr>
      </w:pPr>
    </w:p>
    <w:p>
      <w:pPr>
        <w:keepNext w:val="0"/>
        <w:keepLines w:val="0"/>
        <w:pageBreakBefore w:val="0"/>
        <w:widowControl/>
        <w:kinsoku/>
        <w:wordWrap/>
        <w:overflowPunct/>
        <w:topLinePunct w:val="0"/>
        <w:bidi w:val="0"/>
        <w:spacing w:line="460" w:lineRule="exact"/>
        <w:textAlignment w:val="auto"/>
        <w:rPr>
          <w:rFonts w:hint="eastAsia" w:ascii="仿宋" w:hAnsi="仿宋" w:eastAsia="仿宋" w:cs="仿宋"/>
          <w:szCs w:val="21"/>
        </w:rPr>
      </w:pPr>
    </w:p>
    <w:p>
      <w:pPr>
        <w:keepNext w:val="0"/>
        <w:keepLines w:val="0"/>
        <w:pageBreakBefore w:val="0"/>
        <w:kinsoku/>
        <w:wordWrap/>
        <w:overflowPunct/>
        <w:topLinePunct w:val="0"/>
        <w:autoSpaceDE w:val="0"/>
        <w:autoSpaceDN w:val="0"/>
        <w:bidi w:val="0"/>
        <w:adjustRightInd w:val="0"/>
        <w:snapToGrid w:val="0"/>
        <w:spacing w:line="460" w:lineRule="exact"/>
        <w:jc w:val="center"/>
        <w:textAlignment w:val="auto"/>
        <w:rPr>
          <w:rFonts w:hint="eastAsia" w:ascii="仿宋" w:hAnsi="仿宋" w:eastAsia="仿宋" w:cs="仿宋"/>
          <w:sz w:val="28"/>
          <w:szCs w:val="28"/>
        </w:rPr>
      </w:pPr>
    </w:p>
    <w:p>
      <w:pPr>
        <w:keepNext w:val="0"/>
        <w:keepLines w:val="0"/>
        <w:pageBreakBefore w:val="0"/>
        <w:kinsoku/>
        <w:wordWrap/>
        <w:overflowPunct/>
        <w:topLinePunct w:val="0"/>
        <w:bidi w:val="0"/>
        <w:spacing w:line="460" w:lineRule="exact"/>
        <w:textAlignment w:val="auto"/>
        <w:rPr>
          <w:rFonts w:hint="eastAsia" w:ascii="仿宋" w:hAnsi="仿宋" w:eastAsia="仿宋" w:cs="仿宋"/>
        </w:rPr>
      </w:pPr>
    </w:p>
    <w:sectPr>
      <w:footerReference r:id="rId3" w:type="default"/>
      <w:pgSz w:w="11907" w:h="16839"/>
      <w:pgMar w:top="1440" w:right="1800" w:bottom="1440" w:left="180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Bold">
    <w:altName w:val="Arial"/>
    <w:panose1 w:val="00000000000000000000"/>
    <w:charset w:val="00"/>
    <w:family w:val="swiss"/>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3</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E33359"/>
    <w:multiLevelType w:val="singleLevel"/>
    <w:tmpl w:val="DCE3335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639CE"/>
    <w:rsid w:val="08FB693B"/>
    <w:rsid w:val="744639CE"/>
    <w:rsid w:val="74822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autoSpaceDE w:val="0"/>
      <w:autoSpaceDN w:val="0"/>
    </w:pPr>
    <w:rPr>
      <w:rFonts w:ascii="Arial,Bold" w:hAnsi="Arial,Bold" w:eastAsia="PMingLiU" w:cs="Times New Roman"/>
      <w:lang w:val="en-US" w:eastAsia="en-US" w:bidi="ar-SA"/>
    </w:rPr>
  </w:style>
  <w:style w:type="paragraph" w:styleId="3">
    <w:name w:val="Body Text"/>
    <w:basedOn w:val="1"/>
    <w:qFormat/>
    <w:uiPriority w:val="0"/>
    <w:pPr>
      <w:spacing w:line="400" w:lineRule="exact"/>
    </w:pPr>
    <w:rPr>
      <w:rFonts w:ascii="楷体_GB2312"/>
      <w:sz w:val="28"/>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无间隔1"/>
    <w:qFormat/>
    <w:uiPriority w:val="0"/>
    <w:pPr>
      <w:widowControl w:val="0"/>
      <w:spacing w:line="300" w:lineRule="auto"/>
    </w:pPr>
    <w:rPr>
      <w:rFonts w:ascii="Times New Roman" w:hAnsi="Times New Roman" w:eastAsia="华文仿宋" w:cs="Times New Roman"/>
      <w:kern w:val="2"/>
      <w:sz w:val="24"/>
      <w:szCs w:val="21"/>
      <w:lang w:val="en-US" w:eastAsia="zh-CN" w:bidi="ar-SA"/>
    </w:rPr>
  </w:style>
  <w:style w:type="paragraph" w:customStyle="1" w:styleId="10">
    <w:name w:val="普通正文"/>
    <w:basedOn w:val="1"/>
    <w:qFormat/>
    <w:uiPriority w:val="0"/>
    <w:pPr>
      <w:spacing w:before="120" w:after="120" w:line="360" w:lineRule="auto"/>
      <w:ind w:firstLine="480"/>
      <w:textAlignment w:val="baseline"/>
    </w:pPr>
    <w:rPr>
      <w:rFonts w:ascii="Arial" w:hAnsi="Arial"/>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2021-05-05T13:00:00Z</dcterms:created>
  <dc:creator>Administrator</dc:creator>
  <cp:lastModifiedBy>Administrator</cp:lastModifiedBy>
  <dcterms:modified xsi:type="dcterms:W3CDTF">2021-05-05T13:35:20Z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F1AFF77733374D41A45A1AB4C41A81B3</vt:lpwstr>
  </property>
</Properties>
</file>